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C1033B5" w14:textId="77777777" w:rsidR="00A52639" w:rsidRDefault="00A52639" w:rsidP="00D722A3">
      <w:pPr>
        <w:pStyle w:val="T4"/>
        <w:tabs>
          <w:tab w:val="clear" w:pos="0"/>
        </w:tabs>
        <w:ind w:left="567"/>
        <w:rPr>
          <w:rFonts w:cs="Arial"/>
        </w:rPr>
      </w:pPr>
      <w:r>
        <w:rPr>
          <w:rFonts w:cs="Arial"/>
        </w:rPr>
        <w:t>Republika hrvatska</w:t>
      </w:r>
    </w:p>
    <w:p w14:paraId="249C755B" w14:textId="77777777" w:rsidR="00A52639" w:rsidRDefault="00A52639" w:rsidP="00D722A3">
      <w:pPr>
        <w:pStyle w:val="T4"/>
        <w:tabs>
          <w:tab w:val="clear" w:pos="0"/>
        </w:tabs>
        <w:ind w:left="567"/>
      </w:pPr>
      <w:r>
        <w:t>Općina starigrad</w:t>
      </w:r>
    </w:p>
    <w:p w14:paraId="128DD587" w14:textId="7AC5DBFA" w:rsidR="00C0369C" w:rsidRDefault="00C0369C" w:rsidP="00D722A3">
      <w:pPr>
        <w:pStyle w:val="T4"/>
        <w:tabs>
          <w:tab w:val="clear" w:pos="0"/>
        </w:tabs>
        <w:ind w:left="567"/>
      </w:pPr>
      <w:r>
        <w:t>JEDINSTVENI UPRAVNI ODJEL</w:t>
      </w:r>
    </w:p>
    <w:p w14:paraId="214EEC4B" w14:textId="77777777" w:rsidR="00A52639" w:rsidRDefault="00A52639" w:rsidP="00D722A3">
      <w:pPr>
        <w:pStyle w:val="T4"/>
        <w:pBdr>
          <w:bottom w:val="single" w:sz="4" w:space="1" w:color="000000"/>
        </w:pBdr>
        <w:tabs>
          <w:tab w:val="clear" w:pos="0"/>
        </w:tabs>
      </w:pPr>
      <w:r>
        <w:t>ODSJEK za financije, GOSPODARSTVO, plan i proračun</w:t>
      </w:r>
    </w:p>
    <w:p w14:paraId="6BCBB09E" w14:textId="77777777" w:rsidR="00B32F0A" w:rsidRDefault="00B32F0A" w:rsidP="00B32F0A">
      <w:pPr>
        <w:pStyle w:val="T3"/>
        <w:tabs>
          <w:tab w:val="clear" w:pos="0"/>
        </w:tabs>
        <w:spacing w:before="100" w:beforeAutospacing="1" w:line="360" w:lineRule="auto"/>
        <w:ind w:left="567"/>
        <w:jc w:val="center"/>
      </w:pPr>
    </w:p>
    <w:p w14:paraId="00438028" w14:textId="77777777" w:rsidR="00B32F0A" w:rsidRDefault="00B32F0A" w:rsidP="00B32F0A">
      <w:pPr>
        <w:pStyle w:val="T3"/>
        <w:tabs>
          <w:tab w:val="clear" w:pos="0"/>
        </w:tabs>
        <w:spacing w:before="100" w:beforeAutospacing="1" w:line="360" w:lineRule="auto"/>
        <w:ind w:left="567"/>
        <w:jc w:val="center"/>
      </w:pPr>
    </w:p>
    <w:p w14:paraId="38984198" w14:textId="77777777" w:rsidR="00DA7630" w:rsidRDefault="00DA7630" w:rsidP="00B32F0A">
      <w:pPr>
        <w:pStyle w:val="T3"/>
        <w:tabs>
          <w:tab w:val="clear" w:pos="0"/>
        </w:tabs>
        <w:spacing w:before="100" w:beforeAutospacing="1" w:line="360" w:lineRule="auto"/>
        <w:ind w:left="567"/>
        <w:jc w:val="center"/>
      </w:pPr>
    </w:p>
    <w:p w14:paraId="44192D80" w14:textId="77777777" w:rsidR="00DA7630" w:rsidRDefault="00DA7630" w:rsidP="00B32F0A">
      <w:pPr>
        <w:pStyle w:val="T3"/>
        <w:tabs>
          <w:tab w:val="clear" w:pos="0"/>
        </w:tabs>
        <w:spacing w:before="100" w:beforeAutospacing="1" w:line="360" w:lineRule="auto"/>
        <w:ind w:left="567"/>
        <w:jc w:val="center"/>
      </w:pPr>
    </w:p>
    <w:p w14:paraId="14F36217" w14:textId="77777777" w:rsidR="00B32F0A" w:rsidRDefault="00B32F0A" w:rsidP="00B32F0A">
      <w:pPr>
        <w:pStyle w:val="T3"/>
        <w:tabs>
          <w:tab w:val="clear" w:pos="0"/>
        </w:tabs>
        <w:spacing w:before="100" w:beforeAutospacing="1" w:line="360" w:lineRule="auto"/>
        <w:ind w:left="567"/>
        <w:jc w:val="center"/>
      </w:pPr>
    </w:p>
    <w:p w14:paraId="5806D6FC" w14:textId="77777777" w:rsidR="00B32F0A" w:rsidRDefault="00B32F0A" w:rsidP="00B32F0A">
      <w:pPr>
        <w:pStyle w:val="T3"/>
        <w:tabs>
          <w:tab w:val="clear" w:pos="0"/>
        </w:tabs>
        <w:spacing w:before="100" w:beforeAutospacing="1" w:line="360" w:lineRule="auto"/>
        <w:ind w:left="567"/>
        <w:jc w:val="center"/>
      </w:pPr>
    </w:p>
    <w:p w14:paraId="19725817" w14:textId="77777777" w:rsidR="00D722A3" w:rsidRDefault="00B32F0A" w:rsidP="002F2698">
      <w:pPr>
        <w:pStyle w:val="T3"/>
        <w:tabs>
          <w:tab w:val="clear" w:pos="0"/>
        </w:tabs>
        <w:spacing w:before="100" w:beforeAutospacing="1"/>
        <w:ind w:left="567"/>
        <w:jc w:val="center"/>
      </w:pPr>
      <w:r>
        <w:t>UPUTE ZA IZRADU</w:t>
      </w:r>
      <w:r w:rsidR="00A52639">
        <w:t xml:space="preserve"> </w:t>
      </w:r>
      <w:r w:rsidR="0099764B">
        <w:t xml:space="preserve">PRORAČUNA </w:t>
      </w:r>
    </w:p>
    <w:p w14:paraId="52AA3C54" w14:textId="77777777" w:rsidR="00DA7630" w:rsidRDefault="00DA7630" w:rsidP="002F2698">
      <w:pPr>
        <w:pStyle w:val="T3"/>
        <w:tabs>
          <w:tab w:val="clear" w:pos="0"/>
        </w:tabs>
        <w:spacing w:before="100" w:beforeAutospacing="1"/>
        <w:ind w:left="567"/>
        <w:jc w:val="center"/>
      </w:pPr>
      <w:r>
        <w:t>OPĆINE STARIGRAD</w:t>
      </w:r>
      <w:r w:rsidR="002F2698">
        <w:t xml:space="preserve"> </w:t>
      </w:r>
    </w:p>
    <w:p w14:paraId="67D9316A" w14:textId="21487099" w:rsidR="00B32F0A" w:rsidRDefault="006024AC" w:rsidP="00B32F0A">
      <w:pPr>
        <w:pStyle w:val="T3"/>
        <w:tabs>
          <w:tab w:val="clear" w:pos="0"/>
        </w:tabs>
        <w:spacing w:before="100" w:beforeAutospacing="1"/>
        <w:ind w:left="567"/>
        <w:jc w:val="center"/>
      </w:pPr>
      <w:r>
        <w:t>ZA RAZDOBLJE 20</w:t>
      </w:r>
      <w:r w:rsidR="006E2C53">
        <w:t>2</w:t>
      </w:r>
      <w:r w:rsidR="000F40B3">
        <w:t>6</w:t>
      </w:r>
      <w:r w:rsidR="004D451E">
        <w:t>. – 202</w:t>
      </w:r>
      <w:r w:rsidR="000F40B3">
        <w:t>8</w:t>
      </w:r>
      <w:r w:rsidR="00B32F0A">
        <w:t>.</w:t>
      </w:r>
    </w:p>
    <w:p w14:paraId="1249939D" w14:textId="77777777" w:rsidR="00A52639" w:rsidRDefault="00A52639">
      <w:pPr>
        <w:pStyle w:val="T3"/>
        <w:tabs>
          <w:tab w:val="clear" w:pos="0"/>
          <w:tab w:val="left" w:pos="1920"/>
        </w:tabs>
      </w:pPr>
    </w:p>
    <w:p w14:paraId="2BB0BB4A" w14:textId="77777777" w:rsidR="00A52639" w:rsidRDefault="00A52639">
      <w:pPr>
        <w:pStyle w:val="T3"/>
        <w:tabs>
          <w:tab w:val="clear" w:pos="0"/>
        </w:tabs>
      </w:pPr>
    </w:p>
    <w:p w14:paraId="360DC3C6" w14:textId="77777777" w:rsidR="00A52639" w:rsidRDefault="00A52639">
      <w:pPr>
        <w:pStyle w:val="T3"/>
        <w:tabs>
          <w:tab w:val="clear" w:pos="0"/>
        </w:tabs>
      </w:pPr>
    </w:p>
    <w:p w14:paraId="491C5E1E" w14:textId="77777777" w:rsidR="0099764B" w:rsidRDefault="0099764B">
      <w:pPr>
        <w:pStyle w:val="T3"/>
        <w:tabs>
          <w:tab w:val="clear" w:pos="0"/>
        </w:tabs>
      </w:pPr>
    </w:p>
    <w:p w14:paraId="605380E9" w14:textId="77777777" w:rsidR="00DA7630" w:rsidRDefault="00DA7630">
      <w:pPr>
        <w:pStyle w:val="T3"/>
        <w:tabs>
          <w:tab w:val="clear" w:pos="0"/>
        </w:tabs>
      </w:pPr>
    </w:p>
    <w:p w14:paraId="7E854694" w14:textId="77777777" w:rsidR="00DE7CDB" w:rsidRDefault="00DE7CDB">
      <w:pPr>
        <w:pStyle w:val="T3"/>
        <w:tabs>
          <w:tab w:val="clear" w:pos="0"/>
        </w:tabs>
      </w:pPr>
    </w:p>
    <w:p w14:paraId="59F19719" w14:textId="77777777" w:rsidR="00DA7630" w:rsidRDefault="00DA7630">
      <w:pPr>
        <w:pStyle w:val="T3"/>
        <w:tabs>
          <w:tab w:val="clear" w:pos="0"/>
        </w:tabs>
      </w:pPr>
    </w:p>
    <w:p w14:paraId="243E7353" w14:textId="77777777" w:rsidR="00DA7630" w:rsidRDefault="00DA7630">
      <w:pPr>
        <w:pStyle w:val="T3"/>
        <w:tabs>
          <w:tab w:val="clear" w:pos="0"/>
        </w:tabs>
      </w:pPr>
    </w:p>
    <w:p w14:paraId="0ADAF772" w14:textId="77777777" w:rsidR="00DA7630" w:rsidRDefault="00DA7630">
      <w:pPr>
        <w:pStyle w:val="T3"/>
        <w:tabs>
          <w:tab w:val="clear" w:pos="0"/>
        </w:tabs>
      </w:pPr>
    </w:p>
    <w:p w14:paraId="0D537E0C" w14:textId="77777777" w:rsidR="00DA7630" w:rsidRDefault="00DA7630">
      <w:pPr>
        <w:pStyle w:val="T3"/>
        <w:tabs>
          <w:tab w:val="clear" w:pos="0"/>
        </w:tabs>
      </w:pPr>
    </w:p>
    <w:p w14:paraId="57175D96" w14:textId="48EE4F56" w:rsidR="00DE7CDB" w:rsidRDefault="00806336" w:rsidP="00C82BCC">
      <w:pPr>
        <w:pStyle w:val="B5"/>
        <w:tabs>
          <w:tab w:val="clear" w:pos="3402"/>
        </w:tabs>
        <w:ind w:left="2409" w:firstLine="423"/>
        <w:rPr>
          <w:b/>
        </w:rPr>
      </w:pPr>
      <w:r>
        <w:rPr>
          <w:b/>
        </w:rPr>
        <w:t xml:space="preserve">Starigrad Paklenica, </w:t>
      </w:r>
      <w:r w:rsidR="00783AE1">
        <w:rPr>
          <w:b/>
        </w:rPr>
        <w:t>listopad</w:t>
      </w:r>
      <w:r w:rsidR="00ED4F06">
        <w:rPr>
          <w:b/>
        </w:rPr>
        <w:t xml:space="preserve"> 20</w:t>
      </w:r>
      <w:r w:rsidR="00982090">
        <w:rPr>
          <w:b/>
        </w:rPr>
        <w:t>2</w:t>
      </w:r>
      <w:r w:rsidR="000F40B3">
        <w:rPr>
          <w:b/>
        </w:rPr>
        <w:t>5</w:t>
      </w:r>
      <w:r w:rsidR="00A52639">
        <w:rPr>
          <w:b/>
        </w:rPr>
        <w:t>. godine</w:t>
      </w:r>
    </w:p>
    <w:p w14:paraId="366E2B6B" w14:textId="77777777" w:rsidR="000825A9" w:rsidRDefault="000825A9" w:rsidP="00064652">
      <w:pPr>
        <w:pStyle w:val="B5"/>
        <w:tabs>
          <w:tab w:val="clear" w:pos="3402"/>
        </w:tabs>
        <w:ind w:left="0"/>
        <w:rPr>
          <w:b/>
        </w:rPr>
      </w:pPr>
    </w:p>
    <w:p w14:paraId="3B847F3D" w14:textId="77777777" w:rsidR="00BB287F" w:rsidRDefault="00BB287F" w:rsidP="00064652">
      <w:pPr>
        <w:pStyle w:val="B5"/>
        <w:tabs>
          <w:tab w:val="clear" w:pos="3402"/>
        </w:tabs>
        <w:ind w:left="0"/>
        <w:rPr>
          <w:b/>
        </w:rPr>
      </w:pPr>
    </w:p>
    <w:p w14:paraId="6512190E" w14:textId="77777777" w:rsidR="00A52639" w:rsidRDefault="0099764B" w:rsidP="0099764B">
      <w:pPr>
        <w:pStyle w:val="B5"/>
        <w:tabs>
          <w:tab w:val="clear" w:pos="3402"/>
        </w:tabs>
        <w:ind w:left="0"/>
        <w:jc w:val="center"/>
        <w:rPr>
          <w:b/>
        </w:rPr>
      </w:pPr>
      <w:r w:rsidRPr="0099764B">
        <w:rPr>
          <w:b/>
        </w:rPr>
        <w:t>1.</w:t>
      </w:r>
      <w:r>
        <w:rPr>
          <w:b/>
        </w:rPr>
        <w:t xml:space="preserve"> </w:t>
      </w:r>
      <w:r w:rsidR="00A52639">
        <w:rPr>
          <w:b/>
        </w:rPr>
        <w:t xml:space="preserve">U V O D </w:t>
      </w:r>
    </w:p>
    <w:p w14:paraId="02581C62" w14:textId="77777777" w:rsidR="000825A9" w:rsidRDefault="00C7026D" w:rsidP="000825A9">
      <w:pPr>
        <w:pStyle w:val="B5"/>
        <w:tabs>
          <w:tab w:val="clear" w:pos="3402"/>
        </w:tabs>
        <w:ind w:left="0"/>
        <w:rPr>
          <w:b/>
        </w:rPr>
      </w:pPr>
      <w:r>
        <w:rPr>
          <w:b/>
        </w:rPr>
        <w:t xml:space="preserve"> </w:t>
      </w:r>
    </w:p>
    <w:p w14:paraId="09459D78" w14:textId="583F728C" w:rsidR="00D722A3" w:rsidRPr="000825A9" w:rsidRDefault="00D722A3" w:rsidP="000825A9">
      <w:pPr>
        <w:pStyle w:val="B5"/>
        <w:tabs>
          <w:tab w:val="clear" w:pos="3402"/>
        </w:tabs>
        <w:ind w:left="0"/>
        <w:rPr>
          <w:b/>
        </w:rPr>
      </w:pPr>
      <w:r w:rsidRPr="00D722A3">
        <w:rPr>
          <w:rFonts w:cs="Times New Roman"/>
          <w:color w:val="000000"/>
        </w:rPr>
        <w:t>Sukladno odredbama Zakona o proraču</w:t>
      </w:r>
      <w:r w:rsidR="00C82BCC">
        <w:rPr>
          <w:rFonts w:cs="Times New Roman"/>
          <w:color w:val="000000"/>
        </w:rPr>
        <w:t>nu (Narodne novine, br. 144/21</w:t>
      </w:r>
      <w:r w:rsidR="00982090">
        <w:rPr>
          <w:rFonts w:cs="Times New Roman"/>
          <w:color w:val="000000"/>
        </w:rPr>
        <w:t>)</w:t>
      </w:r>
      <w:r w:rsidR="002A1CD5">
        <w:rPr>
          <w:rFonts w:cs="Times New Roman"/>
          <w:color w:val="000000"/>
        </w:rPr>
        <w:t>,</w:t>
      </w:r>
      <w:r w:rsidR="00982090">
        <w:rPr>
          <w:rFonts w:cs="Times New Roman"/>
          <w:color w:val="000000"/>
        </w:rPr>
        <w:t xml:space="preserve"> </w:t>
      </w:r>
      <w:r w:rsidRPr="00D722A3">
        <w:rPr>
          <w:rFonts w:cs="Times New Roman"/>
          <w:color w:val="000000"/>
        </w:rPr>
        <w:t>Vlada Republike Hrvatske (dalje u teks</w:t>
      </w:r>
      <w:r w:rsidR="00982090">
        <w:rPr>
          <w:rFonts w:cs="Times New Roman"/>
          <w:color w:val="000000"/>
        </w:rPr>
        <w:t xml:space="preserve">tu: Vlada) donosi i usvaja akte </w:t>
      </w:r>
      <w:r w:rsidRPr="00D722A3">
        <w:rPr>
          <w:rFonts w:cs="Times New Roman"/>
          <w:color w:val="000000"/>
        </w:rPr>
        <w:t>na temelju kojih Ministarstvo financija sastavlja upute</w:t>
      </w:r>
      <w:r w:rsidR="00982090">
        <w:rPr>
          <w:rFonts w:cs="Times New Roman"/>
          <w:color w:val="000000"/>
        </w:rPr>
        <w:t xml:space="preserve"> za izradu državnog proračuna i </w:t>
      </w:r>
      <w:r w:rsidRPr="00D722A3">
        <w:rPr>
          <w:rFonts w:cs="Times New Roman"/>
          <w:color w:val="000000"/>
        </w:rPr>
        <w:t>proračuna jedinica lokalne i područne (regionalne) samouprave.</w:t>
      </w:r>
      <w:r w:rsidRPr="00D722A3">
        <w:rPr>
          <w:rFonts w:cs="Times New Roman"/>
        </w:rPr>
        <w:t xml:space="preserve"> </w:t>
      </w:r>
    </w:p>
    <w:p w14:paraId="4EB6AB1C" w14:textId="1BA4D5BF" w:rsidR="00A52639" w:rsidRPr="00C82BCC" w:rsidRDefault="00D722A3" w:rsidP="00783AE1">
      <w:pPr>
        <w:pStyle w:val="P1"/>
        <w:ind w:left="0"/>
        <w:rPr>
          <w:rFonts w:cs="Times New Roman"/>
        </w:rPr>
      </w:pPr>
      <w:r w:rsidRPr="00D722A3">
        <w:rPr>
          <w:rFonts w:cs="Times New Roman"/>
          <w:color w:val="000000"/>
        </w:rPr>
        <w:t>Ministarstvo financija je</w:t>
      </w:r>
      <w:r w:rsidR="008C33B0">
        <w:rPr>
          <w:rFonts w:cs="Times New Roman"/>
          <w:color w:val="000000"/>
        </w:rPr>
        <w:t xml:space="preserve"> </w:t>
      </w:r>
      <w:r w:rsidR="00783AE1">
        <w:rPr>
          <w:rFonts w:cs="Times New Roman"/>
          <w:color w:val="000000"/>
        </w:rPr>
        <w:t xml:space="preserve">dostavilo </w:t>
      </w:r>
      <w:r w:rsidRPr="00D722A3">
        <w:rPr>
          <w:rFonts w:cs="Times New Roman"/>
          <w:color w:val="000000"/>
        </w:rPr>
        <w:t>Upute</w:t>
      </w:r>
      <w:r w:rsidR="00783AE1">
        <w:rPr>
          <w:rFonts w:cs="Times New Roman"/>
          <w:color w:val="000000"/>
        </w:rPr>
        <w:t xml:space="preserve"> </w:t>
      </w:r>
      <w:r w:rsidRPr="00D722A3">
        <w:rPr>
          <w:rFonts w:cs="Times New Roman"/>
          <w:color w:val="000000"/>
        </w:rPr>
        <w:t>za izradu proračuna jedinica lokalne i područne (regionalne) samouprave za razdoblje 202</w:t>
      </w:r>
      <w:r w:rsidR="008C33B0">
        <w:rPr>
          <w:rFonts w:cs="Times New Roman"/>
          <w:color w:val="000000"/>
        </w:rPr>
        <w:t>6</w:t>
      </w:r>
      <w:r w:rsidRPr="00D722A3">
        <w:rPr>
          <w:rFonts w:cs="Times New Roman"/>
          <w:color w:val="000000"/>
        </w:rPr>
        <w:t>. -</w:t>
      </w:r>
      <w:r w:rsidR="00783AE1">
        <w:rPr>
          <w:rFonts w:cs="Times New Roman"/>
          <w:color w:val="000000"/>
        </w:rPr>
        <w:t xml:space="preserve"> </w:t>
      </w:r>
      <w:r w:rsidRPr="00D722A3">
        <w:rPr>
          <w:rFonts w:cs="Times New Roman"/>
          <w:color w:val="000000"/>
        </w:rPr>
        <w:t>202</w:t>
      </w:r>
      <w:r w:rsidR="008C33B0">
        <w:rPr>
          <w:rFonts w:cs="Times New Roman"/>
          <w:color w:val="000000"/>
        </w:rPr>
        <w:t>8</w:t>
      </w:r>
      <w:r w:rsidRPr="00D722A3">
        <w:rPr>
          <w:rFonts w:cs="Times New Roman"/>
          <w:color w:val="000000"/>
        </w:rPr>
        <w:t xml:space="preserve">. </w:t>
      </w:r>
      <w:r w:rsidR="008C33B0">
        <w:rPr>
          <w:rFonts w:cs="Times New Roman"/>
        </w:rPr>
        <w:t>u listopadu 2025. godine.</w:t>
      </w:r>
    </w:p>
    <w:p w14:paraId="3AD1EA92" w14:textId="3CB872AE" w:rsidR="00783AE1" w:rsidRDefault="00783AE1" w:rsidP="00783AE1">
      <w:pPr>
        <w:pStyle w:val="P1"/>
        <w:ind w:left="0"/>
      </w:pPr>
      <w:r w:rsidRPr="00783AE1">
        <w:t>Upravni odjel za financije, gospodarstvo, plan i proračun Općine Starigrad</w:t>
      </w:r>
      <w:r>
        <w:t xml:space="preserve"> izradio je </w:t>
      </w:r>
      <w:r w:rsidRPr="00783AE1">
        <w:t>ove Upute za izradu Proračuna Općine Starigrad za razdoblje 202</w:t>
      </w:r>
      <w:r w:rsidR="006510AA">
        <w:t>6</w:t>
      </w:r>
      <w:r w:rsidRPr="00783AE1">
        <w:t>.-202</w:t>
      </w:r>
      <w:r w:rsidR="006510AA">
        <w:t>8</w:t>
      </w:r>
      <w:r w:rsidRPr="00783AE1">
        <w:t>. godine. Ove upute sadrže:</w:t>
      </w:r>
    </w:p>
    <w:p w14:paraId="685F16A4" w14:textId="7B20F7DE" w:rsidR="000825A9" w:rsidRPr="00C86E31" w:rsidRDefault="000825A9" w:rsidP="00783AE1">
      <w:pPr>
        <w:pStyle w:val="P1"/>
        <w:numPr>
          <w:ilvl w:val="0"/>
          <w:numId w:val="4"/>
        </w:numPr>
      </w:pPr>
      <w:r w:rsidRPr="00C86E31">
        <w:t>Temeljne makroekonomske pretpostavke za izradu prijedloga proračuna Općine Starigrad</w:t>
      </w:r>
    </w:p>
    <w:p w14:paraId="22F46EA4" w14:textId="77777777" w:rsidR="00064652" w:rsidRPr="00C15C15" w:rsidRDefault="00521059" w:rsidP="00EC706C">
      <w:pPr>
        <w:numPr>
          <w:ilvl w:val="0"/>
          <w:numId w:val="4"/>
        </w:numPr>
      </w:pPr>
      <w:r w:rsidRPr="00686998">
        <w:t>Izrada</w:t>
      </w:r>
      <w:r w:rsidR="00064652" w:rsidRPr="00686998">
        <w:t>, predlaganj</w:t>
      </w:r>
      <w:r w:rsidRPr="00686998">
        <w:t>e</w:t>
      </w:r>
      <w:r w:rsidR="00064652" w:rsidRPr="00686998">
        <w:t xml:space="preserve"> i donošenja proračuna i financijskog plana </w:t>
      </w:r>
      <w:r w:rsidRPr="00686998">
        <w:t>sukladno</w:t>
      </w:r>
      <w:r w:rsidR="00064652" w:rsidRPr="00686998">
        <w:t xml:space="preserve"> Zakonu o </w:t>
      </w:r>
      <w:r w:rsidR="00064652" w:rsidRPr="00C15C15">
        <w:t>proračunu</w:t>
      </w:r>
    </w:p>
    <w:p w14:paraId="164553FC" w14:textId="77777777" w:rsidR="00A52639" w:rsidRPr="00C15C15" w:rsidRDefault="00482D47" w:rsidP="00A46BE3">
      <w:pPr>
        <w:numPr>
          <w:ilvl w:val="0"/>
          <w:numId w:val="4"/>
        </w:numPr>
      </w:pPr>
      <w:r w:rsidRPr="00C15C15">
        <w:t xml:space="preserve">Metodologiju izrade prijedloga proračuna </w:t>
      </w:r>
      <w:r w:rsidR="008E7D4C" w:rsidRPr="00C15C15">
        <w:t>i prijedloga</w:t>
      </w:r>
      <w:r w:rsidR="00A46BE3" w:rsidRPr="00C15C15">
        <w:t xml:space="preserve"> financijskog plana proračunskog korisnika Općine Starigrad </w:t>
      </w:r>
    </w:p>
    <w:p w14:paraId="7CB3AC2E" w14:textId="77777777" w:rsidR="000825A9" w:rsidRPr="00C15C15" w:rsidRDefault="000825A9" w:rsidP="000825A9">
      <w:pPr>
        <w:numPr>
          <w:ilvl w:val="0"/>
          <w:numId w:val="4"/>
        </w:numPr>
      </w:pPr>
      <w:r w:rsidRPr="00C15C15">
        <w:t xml:space="preserve">Opis planiranih politika Općine Starigrad </w:t>
      </w:r>
    </w:p>
    <w:p w14:paraId="13E16569" w14:textId="77777777" w:rsidR="000825A9" w:rsidRPr="00C15C15" w:rsidRDefault="000825A9" w:rsidP="00EC706C">
      <w:pPr>
        <w:numPr>
          <w:ilvl w:val="0"/>
          <w:numId w:val="4"/>
        </w:numPr>
      </w:pPr>
      <w:r w:rsidRPr="00C15C15">
        <w:t>Procjenu prihoda i rashoda te primitaka i izdataka proračuna Općine Starigrad u sljedeće tri godine</w:t>
      </w:r>
    </w:p>
    <w:p w14:paraId="48FC3AFF" w14:textId="77777777" w:rsidR="00230F50" w:rsidRPr="00C15C15" w:rsidRDefault="00B17080" w:rsidP="00EC706C">
      <w:pPr>
        <w:numPr>
          <w:ilvl w:val="0"/>
          <w:numId w:val="4"/>
        </w:numPr>
      </w:pPr>
      <w:r w:rsidRPr="00C15C15">
        <w:t xml:space="preserve">Terminski plan za izradu proračuna i prijedloga financijskog plana proračunskog korisnika Općine Starigrad </w:t>
      </w:r>
    </w:p>
    <w:p w14:paraId="0F7017EA" w14:textId="77777777" w:rsidR="00B17080" w:rsidRPr="00C15C15" w:rsidRDefault="00B17080" w:rsidP="00EC706C">
      <w:pPr>
        <w:numPr>
          <w:ilvl w:val="0"/>
          <w:numId w:val="4"/>
        </w:numPr>
      </w:pPr>
      <w:r w:rsidRPr="00C15C15">
        <w:rPr>
          <w:rFonts w:cs="Arial"/>
          <w:bCs/>
        </w:rPr>
        <w:t>Dostupnost materijala</w:t>
      </w:r>
    </w:p>
    <w:p w14:paraId="1282316B" w14:textId="77777777" w:rsidR="00783AE1" w:rsidRDefault="00783AE1" w:rsidP="000825A9">
      <w:pPr>
        <w:ind w:left="924"/>
      </w:pPr>
    </w:p>
    <w:p w14:paraId="75D4EAD3" w14:textId="77777777" w:rsidR="00064652" w:rsidRDefault="00064652" w:rsidP="000825A9">
      <w:pPr>
        <w:ind w:left="924"/>
      </w:pPr>
    </w:p>
    <w:p w14:paraId="04419312" w14:textId="77777777" w:rsidR="00064652" w:rsidRPr="0099764B" w:rsidRDefault="00064652" w:rsidP="000825A9">
      <w:pPr>
        <w:ind w:left="924"/>
      </w:pPr>
    </w:p>
    <w:p w14:paraId="62B3DB19" w14:textId="77777777" w:rsidR="00064652" w:rsidRDefault="00064652" w:rsidP="00190CC4">
      <w:pPr>
        <w:ind w:hanging="360"/>
        <w:jc w:val="center"/>
        <w:rPr>
          <w:rFonts w:cs="Arial"/>
          <w:b/>
          <w:bCs/>
          <w:color w:val="000000"/>
        </w:rPr>
      </w:pPr>
      <w:r>
        <w:rPr>
          <w:rFonts w:cs="Arial"/>
          <w:b/>
          <w:bCs/>
          <w:color w:val="000000"/>
        </w:rPr>
        <w:t>2. TEMELJNE MAKROEKONOMSKE PRETPOSTAVKE ZA</w:t>
      </w:r>
    </w:p>
    <w:p w14:paraId="28E94BD0" w14:textId="77777777" w:rsidR="00064652" w:rsidRDefault="00064652" w:rsidP="00190CC4">
      <w:pPr>
        <w:ind w:hanging="360"/>
        <w:jc w:val="center"/>
        <w:rPr>
          <w:rFonts w:cs="Arial"/>
          <w:b/>
          <w:bCs/>
          <w:color w:val="000000"/>
        </w:rPr>
      </w:pPr>
      <w:r>
        <w:rPr>
          <w:rFonts w:cs="Arial"/>
          <w:b/>
          <w:bCs/>
          <w:color w:val="000000"/>
        </w:rPr>
        <w:t>IZRADU PRIJEDLOGA PRORAČUNA OPĆINE STARIGRAD</w:t>
      </w:r>
    </w:p>
    <w:p w14:paraId="190E3C76" w14:textId="77777777" w:rsidR="00064652" w:rsidRDefault="00064652" w:rsidP="00190CC4">
      <w:pPr>
        <w:ind w:hanging="360"/>
        <w:jc w:val="center"/>
        <w:rPr>
          <w:rFonts w:cs="Arial"/>
          <w:b/>
          <w:bCs/>
          <w:color w:val="000000"/>
        </w:rPr>
      </w:pPr>
    </w:p>
    <w:p w14:paraId="0E10F25D" w14:textId="77777777" w:rsidR="00C86E31" w:rsidRDefault="00C86E31" w:rsidP="00C86E31">
      <w:pPr>
        <w:pStyle w:val="NoSpacing"/>
        <w:rPr>
          <w:rFonts w:ascii="Times New Roman" w:hAnsi="Times New Roman"/>
          <w:color w:val="000000"/>
          <w:sz w:val="24"/>
          <w:szCs w:val="24"/>
        </w:rPr>
      </w:pPr>
    </w:p>
    <w:p w14:paraId="7CCBDF94" w14:textId="77777777" w:rsidR="00FE7C15" w:rsidRDefault="00923D5D" w:rsidP="00C86E31">
      <w:pPr>
        <w:pStyle w:val="NoSpacing"/>
        <w:rPr>
          <w:rFonts w:ascii="Times New Roman" w:hAnsi="Times New Roman"/>
          <w:sz w:val="24"/>
          <w:szCs w:val="24"/>
        </w:rPr>
      </w:pPr>
      <w:r w:rsidRPr="00923D5D">
        <w:rPr>
          <w:rFonts w:ascii="Times New Roman" w:hAnsi="Times New Roman"/>
          <w:sz w:val="24"/>
          <w:szCs w:val="24"/>
        </w:rPr>
        <w:t xml:space="preserve">Temeljem Okvira za ekonomsko upravljanje Europskom unijom koji je stupio na snagu 30. travnja 2024. godine, u studenom 2024. Republika Hrvatska izradila je i dostavila Europskoj 3 komisiji Nacionalni srednjoročni fiskalno-strukturni plan za razdoblje 2025.-2028. U svibnju 2025. godine Republika Hrvatska je izradila i godišnje Izvješće o napretku u provedbi Nacionalnog srednjoročnog fiskalno-strukturnog plana Republike Hrvatske (za 2024. i 2025. godinu). </w:t>
      </w:r>
    </w:p>
    <w:p w14:paraId="0FF4F080" w14:textId="77777777" w:rsidR="00FE7C15" w:rsidRDefault="00923D5D" w:rsidP="00C86E31">
      <w:pPr>
        <w:pStyle w:val="NoSpacing"/>
        <w:rPr>
          <w:rFonts w:ascii="Times New Roman" w:hAnsi="Times New Roman"/>
          <w:sz w:val="24"/>
          <w:szCs w:val="24"/>
        </w:rPr>
      </w:pPr>
      <w:r w:rsidRPr="00923D5D">
        <w:rPr>
          <w:rFonts w:ascii="Times New Roman" w:hAnsi="Times New Roman"/>
          <w:sz w:val="24"/>
          <w:szCs w:val="24"/>
        </w:rPr>
        <w:t xml:space="preserve">Sve navedeno predstavljalo je temelj za ocjenu i preporuke Europske komisije u svrhu unapređenja hrvatskog gospodarstva u okviru Proljetnog paketa Europskog semestra objavljenog početkom lipnja 2025. On uključuje Specifične preporuke Vijeća EU za Republiku Hrvatsku koje je potrebno provoditi kroz proračunske politike u sljedećih godinu dana. Ovdje je posebice istaknuta važnost poštivanja fiskalne održivosti, povećanih izdvajanja za obranu te ubrzanja provedbe Plana za oporavak i otpornost kao i kohezijskih fondova. Nadalje, potiče se energetska učinkovitost, konsolidacija politike obrazovanja, istraživanja i inovacija, jačanje politika tržišta rada te jačanje adekvatnosti socijalnih naknada i mirovina, vodeći istovremeno računa o fiskalnoj održivosti. </w:t>
      </w:r>
    </w:p>
    <w:p w14:paraId="12FD29D6" w14:textId="344D2E46" w:rsidR="00C86E31" w:rsidRDefault="00923D5D" w:rsidP="00C86E31">
      <w:pPr>
        <w:pStyle w:val="NoSpacing"/>
        <w:rPr>
          <w:rFonts w:ascii="Times New Roman" w:hAnsi="Times New Roman"/>
          <w:sz w:val="24"/>
          <w:szCs w:val="24"/>
        </w:rPr>
      </w:pPr>
      <w:r w:rsidRPr="00923D5D">
        <w:rPr>
          <w:rFonts w:ascii="Times New Roman" w:hAnsi="Times New Roman"/>
          <w:sz w:val="24"/>
          <w:szCs w:val="24"/>
        </w:rPr>
        <w:t xml:space="preserve">U tom smislu, ova Odluka je sastavni dio procesa izrade Nacrta proračunskog plana Republike Hrvatske za 2026. godinu koji će Vlada usvojiti krajem listopada 2025. godine te dostaviti EU u svojstvu punopravne članice </w:t>
      </w:r>
      <w:proofErr w:type="spellStart"/>
      <w:r w:rsidRPr="00923D5D">
        <w:rPr>
          <w:rFonts w:ascii="Times New Roman" w:hAnsi="Times New Roman"/>
          <w:sz w:val="24"/>
          <w:szCs w:val="24"/>
        </w:rPr>
        <w:t>europodručja</w:t>
      </w:r>
      <w:proofErr w:type="spellEnd"/>
      <w:r w:rsidRPr="00923D5D">
        <w:rPr>
          <w:rFonts w:ascii="Times New Roman" w:hAnsi="Times New Roman"/>
          <w:sz w:val="24"/>
          <w:szCs w:val="24"/>
        </w:rPr>
        <w:t>. U spomenutom dokumentu bit će predstavljene službene makroekonomske i fiskalne projekcije za 2025. i 2026. godinu, a što će biti osnova za pripremu proračuna i za razdoblje 2026. – 2028.</w:t>
      </w:r>
    </w:p>
    <w:p w14:paraId="256C0C7B" w14:textId="77777777" w:rsidR="004355F9" w:rsidRDefault="004355F9" w:rsidP="00C86E31">
      <w:pPr>
        <w:pStyle w:val="NoSpacing"/>
        <w:rPr>
          <w:rFonts w:ascii="Times New Roman" w:hAnsi="Times New Roman"/>
          <w:sz w:val="24"/>
          <w:szCs w:val="24"/>
        </w:rPr>
      </w:pPr>
    </w:p>
    <w:p w14:paraId="5F46EBAA" w14:textId="5806CF2C" w:rsidR="006B26A2" w:rsidRDefault="00755315" w:rsidP="006B26A2">
      <w:pPr>
        <w:pStyle w:val="NoSpacing"/>
        <w:rPr>
          <w:rFonts w:ascii="Times New Roman" w:hAnsi="Times New Roman"/>
          <w:sz w:val="24"/>
          <w:szCs w:val="24"/>
        </w:rPr>
      </w:pPr>
      <w:r>
        <w:rPr>
          <w:rFonts w:ascii="Times New Roman" w:hAnsi="Times New Roman"/>
          <w:sz w:val="24"/>
          <w:szCs w:val="24"/>
        </w:rPr>
        <w:lastRenderedPageBreak/>
        <w:t xml:space="preserve">Nastavno na prethodno, </w:t>
      </w:r>
      <w:r w:rsidR="004355F9">
        <w:rPr>
          <w:rFonts w:ascii="Times New Roman" w:hAnsi="Times New Roman"/>
          <w:sz w:val="24"/>
          <w:szCs w:val="24"/>
        </w:rPr>
        <w:t xml:space="preserve">Hrvatska narodna banka u rujnu 2025. godine </w:t>
      </w:r>
      <w:r w:rsidR="006B26A2">
        <w:rPr>
          <w:rFonts w:ascii="Times New Roman" w:hAnsi="Times New Roman"/>
          <w:sz w:val="24"/>
          <w:szCs w:val="24"/>
        </w:rPr>
        <w:t>objavila je „</w:t>
      </w:r>
      <w:r w:rsidR="006B26A2" w:rsidRPr="006B26A2">
        <w:rPr>
          <w:rFonts w:ascii="Times New Roman" w:hAnsi="Times New Roman"/>
          <w:sz w:val="24"/>
          <w:szCs w:val="24"/>
        </w:rPr>
        <w:t>Sažetak jesenske makroekonomske projekcije HNB-a za Hrvatsku - rujan 2025.</w:t>
      </w:r>
      <w:r w:rsidR="006B26A2">
        <w:rPr>
          <w:rFonts w:ascii="Times New Roman" w:hAnsi="Times New Roman"/>
          <w:sz w:val="24"/>
          <w:szCs w:val="24"/>
        </w:rPr>
        <w:t>“ u kojemu je objavila svoje makroekonomske projekcije za nadolazeće razdoblje u kojemu navode:</w:t>
      </w:r>
    </w:p>
    <w:p w14:paraId="77B84CE4" w14:textId="77777777" w:rsidR="006B26A2" w:rsidRDefault="006B26A2" w:rsidP="006B26A2">
      <w:pPr>
        <w:pStyle w:val="NoSpacing"/>
        <w:rPr>
          <w:rFonts w:ascii="Times New Roman" w:hAnsi="Times New Roman"/>
          <w:sz w:val="24"/>
          <w:szCs w:val="24"/>
        </w:rPr>
      </w:pPr>
    </w:p>
    <w:p w14:paraId="32CB75A4" w14:textId="737C0A1D" w:rsidR="006B26A2" w:rsidRDefault="006B26A2" w:rsidP="006B26A2">
      <w:pPr>
        <w:pStyle w:val="NoSpacing"/>
        <w:numPr>
          <w:ilvl w:val="0"/>
          <w:numId w:val="29"/>
        </w:numPr>
        <w:rPr>
          <w:rFonts w:ascii="Times New Roman" w:hAnsi="Times New Roman"/>
          <w:sz w:val="24"/>
          <w:szCs w:val="24"/>
        </w:rPr>
      </w:pPr>
      <w:r>
        <w:rPr>
          <w:rFonts w:ascii="Times New Roman" w:hAnsi="Times New Roman"/>
          <w:sz w:val="24"/>
          <w:szCs w:val="24"/>
        </w:rPr>
        <w:t>postotni rast Realnog BDP-a u 2025. za 3,2 te u 2026. za 2,9%,</w:t>
      </w:r>
    </w:p>
    <w:p w14:paraId="234F99B1" w14:textId="70A1864C" w:rsidR="006B26A2" w:rsidRDefault="006B26A2" w:rsidP="006B26A2">
      <w:pPr>
        <w:pStyle w:val="NoSpacing"/>
        <w:numPr>
          <w:ilvl w:val="0"/>
          <w:numId w:val="29"/>
        </w:numPr>
        <w:rPr>
          <w:rFonts w:ascii="Times New Roman" w:hAnsi="Times New Roman"/>
          <w:sz w:val="24"/>
          <w:szCs w:val="24"/>
        </w:rPr>
      </w:pPr>
      <w:r>
        <w:rPr>
          <w:rFonts w:ascii="Times New Roman" w:hAnsi="Times New Roman"/>
          <w:sz w:val="24"/>
          <w:szCs w:val="24"/>
        </w:rPr>
        <w:t>postotni rast cijena od 4,2 u 2025., te za 2,8% u 2026. godini,</w:t>
      </w:r>
    </w:p>
    <w:p w14:paraId="396356EE" w14:textId="6DA03B40" w:rsidR="006B26A2" w:rsidRDefault="006B26A2" w:rsidP="006B26A2">
      <w:pPr>
        <w:pStyle w:val="NoSpacing"/>
        <w:numPr>
          <w:ilvl w:val="0"/>
          <w:numId w:val="29"/>
        </w:numPr>
        <w:rPr>
          <w:rFonts w:ascii="Times New Roman" w:hAnsi="Times New Roman"/>
          <w:sz w:val="24"/>
          <w:szCs w:val="24"/>
        </w:rPr>
      </w:pPr>
      <w:r>
        <w:rPr>
          <w:rFonts w:ascii="Times New Roman" w:hAnsi="Times New Roman"/>
          <w:sz w:val="24"/>
          <w:szCs w:val="24"/>
        </w:rPr>
        <w:t>postotni rast neto korištenja fondova EU-a od 2,9 u 2025., te za 3,1% u 2026. godini,</w:t>
      </w:r>
    </w:p>
    <w:p w14:paraId="2E851433" w14:textId="155465C6" w:rsidR="006B26A2" w:rsidRDefault="006B26A2" w:rsidP="006B26A2">
      <w:pPr>
        <w:pStyle w:val="NoSpacing"/>
        <w:numPr>
          <w:ilvl w:val="0"/>
          <w:numId w:val="29"/>
        </w:numPr>
        <w:rPr>
          <w:rFonts w:ascii="Times New Roman" w:hAnsi="Times New Roman"/>
          <w:sz w:val="24"/>
          <w:szCs w:val="24"/>
        </w:rPr>
      </w:pPr>
      <w:r>
        <w:rPr>
          <w:rFonts w:ascii="Times New Roman" w:hAnsi="Times New Roman"/>
          <w:sz w:val="24"/>
          <w:szCs w:val="24"/>
        </w:rPr>
        <w:t>rast broja zaposlenih za 2,7 u 2025., te za 1,8% u 2026. godini.</w:t>
      </w:r>
    </w:p>
    <w:p w14:paraId="2DFED0FB" w14:textId="77777777" w:rsidR="006B26A2" w:rsidRDefault="006B26A2" w:rsidP="006B26A2">
      <w:pPr>
        <w:pStyle w:val="NoSpacing"/>
        <w:rPr>
          <w:rFonts w:ascii="Times New Roman" w:hAnsi="Times New Roman"/>
          <w:sz w:val="24"/>
          <w:szCs w:val="24"/>
        </w:rPr>
      </w:pPr>
    </w:p>
    <w:p w14:paraId="637547F7" w14:textId="089A514D" w:rsidR="006B26A2" w:rsidRPr="006B26A2" w:rsidRDefault="006B26A2" w:rsidP="006B26A2">
      <w:pPr>
        <w:pStyle w:val="NoSpacing"/>
        <w:rPr>
          <w:rFonts w:ascii="Times New Roman" w:hAnsi="Times New Roman"/>
          <w:sz w:val="24"/>
          <w:szCs w:val="24"/>
        </w:rPr>
      </w:pPr>
      <w:r>
        <w:rPr>
          <w:rFonts w:ascii="Times New Roman" w:hAnsi="Times New Roman"/>
          <w:sz w:val="24"/>
          <w:szCs w:val="24"/>
        </w:rPr>
        <w:t>Povoljni gospodarski uvjeti obilježit će i planiranje proračuna Općine Starigrad u proračunskom razdoblju 2026. – 2028. godina.</w:t>
      </w:r>
    </w:p>
    <w:p w14:paraId="33C5C707" w14:textId="3ECBB033" w:rsidR="004355F9" w:rsidRDefault="004355F9" w:rsidP="00C86E31">
      <w:pPr>
        <w:pStyle w:val="NoSpacing"/>
        <w:rPr>
          <w:rFonts w:ascii="Times New Roman" w:hAnsi="Times New Roman"/>
          <w:sz w:val="24"/>
          <w:szCs w:val="24"/>
        </w:rPr>
      </w:pPr>
    </w:p>
    <w:p w14:paraId="347CF805" w14:textId="77777777" w:rsidR="00521059" w:rsidRDefault="00521059" w:rsidP="00064652">
      <w:pPr>
        <w:ind w:hanging="360"/>
        <w:jc w:val="left"/>
        <w:rPr>
          <w:rFonts w:cs="Arial"/>
          <w:bCs/>
          <w:color w:val="000000"/>
        </w:rPr>
      </w:pPr>
    </w:p>
    <w:p w14:paraId="3943A9DD" w14:textId="77777777" w:rsidR="00064652" w:rsidRDefault="00521059" w:rsidP="006C75B9">
      <w:pPr>
        <w:jc w:val="center"/>
        <w:rPr>
          <w:rFonts w:cs="Arial"/>
          <w:b/>
          <w:bCs/>
          <w:color w:val="000000"/>
        </w:rPr>
      </w:pPr>
      <w:r>
        <w:rPr>
          <w:rFonts w:cs="Arial"/>
          <w:b/>
          <w:bCs/>
          <w:color w:val="000000"/>
        </w:rPr>
        <w:t xml:space="preserve">3. </w:t>
      </w:r>
      <w:r w:rsidR="00064652">
        <w:rPr>
          <w:rFonts w:cs="Arial"/>
          <w:b/>
          <w:bCs/>
          <w:color w:val="000000"/>
        </w:rPr>
        <w:t>IZRAD</w:t>
      </w:r>
      <w:r>
        <w:rPr>
          <w:rFonts w:cs="Arial"/>
          <w:b/>
          <w:bCs/>
          <w:color w:val="000000"/>
        </w:rPr>
        <w:t>A</w:t>
      </w:r>
      <w:r w:rsidR="00064652">
        <w:rPr>
          <w:rFonts w:cs="Arial"/>
          <w:b/>
          <w:bCs/>
          <w:color w:val="000000"/>
        </w:rPr>
        <w:t>, PREDLAGANJ</w:t>
      </w:r>
      <w:r>
        <w:rPr>
          <w:rFonts w:cs="Arial"/>
          <w:b/>
          <w:bCs/>
          <w:color w:val="000000"/>
        </w:rPr>
        <w:t>E</w:t>
      </w:r>
      <w:r w:rsidR="00064652">
        <w:rPr>
          <w:rFonts w:cs="Arial"/>
          <w:b/>
          <w:bCs/>
          <w:color w:val="000000"/>
        </w:rPr>
        <w:t xml:space="preserve"> I DONOŠENJA PRORAČUNA</w:t>
      </w:r>
    </w:p>
    <w:p w14:paraId="73D85926" w14:textId="77777777" w:rsidR="00064652" w:rsidRDefault="00064652" w:rsidP="006C75B9">
      <w:pPr>
        <w:ind w:hanging="360"/>
        <w:jc w:val="center"/>
        <w:rPr>
          <w:rFonts w:cs="Arial"/>
          <w:b/>
          <w:bCs/>
          <w:color w:val="000000"/>
        </w:rPr>
      </w:pPr>
      <w:r>
        <w:rPr>
          <w:rFonts w:cs="Arial"/>
          <w:b/>
          <w:bCs/>
          <w:color w:val="000000"/>
        </w:rPr>
        <w:t xml:space="preserve">I FINANCIJSKOG PLANA </w:t>
      </w:r>
      <w:r w:rsidR="00521059">
        <w:rPr>
          <w:rFonts w:cs="Arial"/>
          <w:b/>
          <w:bCs/>
          <w:color w:val="000000"/>
        </w:rPr>
        <w:t>SUKLADNO</w:t>
      </w:r>
      <w:r>
        <w:rPr>
          <w:rFonts w:cs="Arial"/>
          <w:b/>
          <w:bCs/>
          <w:color w:val="000000"/>
        </w:rPr>
        <w:t xml:space="preserve"> ZAKONU O PRORAČUNU</w:t>
      </w:r>
    </w:p>
    <w:p w14:paraId="4DE10D27" w14:textId="77777777" w:rsidR="00064652" w:rsidRDefault="00064652" w:rsidP="00064652">
      <w:pPr>
        <w:pStyle w:val="NoSpacing"/>
        <w:rPr>
          <w:rFonts w:ascii="Times New Roman" w:eastAsia="SimSun" w:hAnsi="Times New Roman" w:cs="Arial"/>
          <w:b/>
          <w:bCs/>
          <w:color w:val="000000"/>
          <w:kern w:val="1"/>
          <w:sz w:val="24"/>
          <w:szCs w:val="24"/>
          <w:lang w:eastAsia="hi-IN" w:bidi="hi-IN"/>
        </w:rPr>
      </w:pPr>
    </w:p>
    <w:p w14:paraId="4DC25EDE" w14:textId="4E757EE6" w:rsidR="00064652" w:rsidRPr="00064652" w:rsidRDefault="00064652" w:rsidP="00064652">
      <w:pPr>
        <w:pStyle w:val="NoSpacing"/>
        <w:rPr>
          <w:rFonts w:ascii="Times New Roman" w:hAnsi="Times New Roman"/>
          <w:b/>
          <w:bCs/>
          <w:sz w:val="24"/>
          <w:szCs w:val="24"/>
        </w:rPr>
      </w:pPr>
      <w:r w:rsidRPr="00064652">
        <w:rPr>
          <w:rFonts w:ascii="Times New Roman" w:hAnsi="Times New Roman"/>
          <w:b/>
          <w:bCs/>
          <w:color w:val="000000"/>
          <w:sz w:val="24"/>
          <w:szCs w:val="24"/>
        </w:rPr>
        <w:t xml:space="preserve">3.1. </w:t>
      </w:r>
      <w:r w:rsidRPr="00064652">
        <w:rPr>
          <w:rFonts w:ascii="Times New Roman" w:hAnsi="Times New Roman"/>
          <w:b/>
          <w:bCs/>
          <w:sz w:val="24"/>
          <w:szCs w:val="24"/>
        </w:rPr>
        <w:t>Predlaganje i donošenje proračuna i financijskih planova za 202</w:t>
      </w:r>
      <w:r w:rsidR="006D219E">
        <w:rPr>
          <w:rFonts w:ascii="Times New Roman" w:hAnsi="Times New Roman"/>
          <w:b/>
          <w:bCs/>
          <w:sz w:val="24"/>
          <w:szCs w:val="24"/>
        </w:rPr>
        <w:t>6</w:t>
      </w:r>
      <w:r w:rsidRPr="00064652">
        <w:rPr>
          <w:rFonts w:ascii="Times New Roman" w:hAnsi="Times New Roman"/>
          <w:b/>
          <w:bCs/>
          <w:sz w:val="24"/>
          <w:szCs w:val="24"/>
        </w:rPr>
        <w:t>. i projekcija za 202</w:t>
      </w:r>
      <w:r w:rsidR="006D219E">
        <w:rPr>
          <w:rFonts w:ascii="Times New Roman" w:hAnsi="Times New Roman"/>
          <w:b/>
          <w:bCs/>
          <w:sz w:val="24"/>
          <w:szCs w:val="24"/>
        </w:rPr>
        <w:t>7</w:t>
      </w:r>
      <w:r w:rsidRPr="00064652">
        <w:rPr>
          <w:rFonts w:ascii="Times New Roman" w:hAnsi="Times New Roman"/>
          <w:b/>
          <w:bCs/>
          <w:sz w:val="24"/>
          <w:szCs w:val="24"/>
        </w:rPr>
        <w:t>. i 202</w:t>
      </w:r>
      <w:r w:rsidR="006D219E">
        <w:rPr>
          <w:rFonts w:ascii="Times New Roman" w:hAnsi="Times New Roman"/>
          <w:b/>
          <w:bCs/>
          <w:sz w:val="24"/>
          <w:szCs w:val="24"/>
        </w:rPr>
        <w:t>8</w:t>
      </w:r>
      <w:r w:rsidRPr="00064652">
        <w:rPr>
          <w:rFonts w:ascii="Times New Roman" w:hAnsi="Times New Roman"/>
          <w:b/>
          <w:bCs/>
          <w:sz w:val="24"/>
          <w:szCs w:val="24"/>
        </w:rPr>
        <w:t>. na razini skupine ekonomske klasifikacije</w:t>
      </w:r>
      <w:r w:rsidR="008C69F4">
        <w:rPr>
          <w:rFonts w:ascii="Times New Roman" w:hAnsi="Times New Roman"/>
          <w:b/>
          <w:bCs/>
          <w:sz w:val="24"/>
          <w:szCs w:val="24"/>
        </w:rPr>
        <w:t xml:space="preserve"> </w:t>
      </w:r>
    </w:p>
    <w:p w14:paraId="34BE525A" w14:textId="77777777" w:rsidR="00064652" w:rsidRDefault="00064652" w:rsidP="00064652">
      <w:pPr>
        <w:pStyle w:val="NoSpacing"/>
        <w:rPr>
          <w:rFonts w:ascii="Times New Roman" w:hAnsi="Times New Roman"/>
          <w:bCs/>
          <w:sz w:val="24"/>
          <w:szCs w:val="24"/>
        </w:rPr>
      </w:pPr>
    </w:p>
    <w:p w14:paraId="046A0929" w14:textId="1A23C0CA" w:rsidR="00064652" w:rsidRDefault="00064652" w:rsidP="00064652">
      <w:pPr>
        <w:pStyle w:val="NoSpacing"/>
        <w:rPr>
          <w:rFonts w:ascii="Times New Roman" w:hAnsi="Times New Roman"/>
          <w:sz w:val="24"/>
          <w:szCs w:val="24"/>
        </w:rPr>
      </w:pPr>
      <w:r w:rsidRPr="00064652">
        <w:rPr>
          <w:rFonts w:ascii="Times New Roman" w:hAnsi="Times New Roman"/>
          <w:sz w:val="24"/>
          <w:szCs w:val="24"/>
        </w:rPr>
        <w:t>Sukladno člancima 38., 39. i 42. Zakona o proračunu, proračun jedinice lokalne i područne (regionalne) samouprave, financijski plan proračunskog korisnika te financijski plan izvanproračunskog korisnika usvaja se na razini skupine ekonomske klasifikacije. Slijedom navedenog, jedinice lokalne i područne (regionalne) samouprave, proračunski i izvanproračunski korisnici prihode i primitke, rashode i izdatke za 202</w:t>
      </w:r>
      <w:r w:rsidR="00CF2500">
        <w:rPr>
          <w:rFonts w:ascii="Times New Roman" w:hAnsi="Times New Roman"/>
          <w:sz w:val="24"/>
          <w:szCs w:val="24"/>
        </w:rPr>
        <w:t>6</w:t>
      </w:r>
      <w:r w:rsidRPr="00064652">
        <w:rPr>
          <w:rFonts w:ascii="Times New Roman" w:hAnsi="Times New Roman"/>
          <w:sz w:val="24"/>
          <w:szCs w:val="24"/>
        </w:rPr>
        <w:t>. godinu iskazuju na razini skupine (druga razina računskog plana) isto kao za 202</w:t>
      </w:r>
      <w:r w:rsidR="00CF2500">
        <w:rPr>
          <w:rFonts w:ascii="Times New Roman" w:hAnsi="Times New Roman"/>
          <w:sz w:val="24"/>
          <w:szCs w:val="24"/>
        </w:rPr>
        <w:t>7</w:t>
      </w:r>
      <w:r w:rsidRPr="00064652">
        <w:rPr>
          <w:rFonts w:ascii="Times New Roman" w:hAnsi="Times New Roman"/>
          <w:sz w:val="24"/>
          <w:szCs w:val="24"/>
        </w:rPr>
        <w:t>. i 202</w:t>
      </w:r>
      <w:r w:rsidR="00CF2500">
        <w:rPr>
          <w:rFonts w:ascii="Times New Roman" w:hAnsi="Times New Roman"/>
          <w:sz w:val="24"/>
          <w:szCs w:val="24"/>
        </w:rPr>
        <w:t>8</w:t>
      </w:r>
      <w:r w:rsidRPr="00064652">
        <w:rPr>
          <w:rFonts w:ascii="Times New Roman" w:hAnsi="Times New Roman"/>
          <w:sz w:val="24"/>
          <w:szCs w:val="24"/>
        </w:rPr>
        <w:t xml:space="preserve">. godinu. </w:t>
      </w:r>
    </w:p>
    <w:p w14:paraId="64A76F22" w14:textId="77777777" w:rsidR="005D7A90" w:rsidRDefault="005D7A90" w:rsidP="00064652">
      <w:pPr>
        <w:pStyle w:val="NoSpacing"/>
        <w:rPr>
          <w:rFonts w:ascii="Times New Roman" w:hAnsi="Times New Roman"/>
          <w:sz w:val="24"/>
          <w:szCs w:val="24"/>
        </w:rPr>
      </w:pPr>
    </w:p>
    <w:p w14:paraId="34932F8E" w14:textId="77777777" w:rsidR="00064652" w:rsidRPr="00064652" w:rsidRDefault="00064652" w:rsidP="00064652">
      <w:pPr>
        <w:pStyle w:val="NoSpacing"/>
        <w:rPr>
          <w:rFonts w:ascii="Times New Roman" w:hAnsi="Times New Roman"/>
          <w:b/>
          <w:sz w:val="24"/>
          <w:szCs w:val="24"/>
        </w:rPr>
      </w:pPr>
      <w:r w:rsidRPr="00064652">
        <w:rPr>
          <w:rFonts w:ascii="Times New Roman" w:hAnsi="Times New Roman"/>
          <w:b/>
          <w:sz w:val="24"/>
          <w:szCs w:val="24"/>
        </w:rPr>
        <w:t>3.2. Iskazivanje rashoda u Računu prihoda i rashoda po funkcijskoj klasifikaciji</w:t>
      </w:r>
    </w:p>
    <w:p w14:paraId="0D942717" w14:textId="77777777" w:rsidR="00064652" w:rsidRDefault="00064652" w:rsidP="00064652">
      <w:pPr>
        <w:pStyle w:val="NoSpacing"/>
        <w:rPr>
          <w:rFonts w:ascii="Times New Roman" w:hAnsi="Times New Roman"/>
          <w:sz w:val="24"/>
          <w:szCs w:val="24"/>
        </w:rPr>
      </w:pPr>
    </w:p>
    <w:p w14:paraId="07AC624B" w14:textId="77777777" w:rsidR="00064652" w:rsidRDefault="00CB6231" w:rsidP="00064652">
      <w:pPr>
        <w:pStyle w:val="NoSpacing"/>
        <w:rPr>
          <w:rFonts w:ascii="CIDFont+F3" w:eastAsia="SimSun" w:hAnsi="CIDFont+F3" w:cs="Mangal" w:hint="eastAsia"/>
          <w:color w:val="000000"/>
          <w:kern w:val="1"/>
          <w:sz w:val="24"/>
          <w:lang w:eastAsia="hi-IN" w:bidi="hi-IN"/>
        </w:rPr>
      </w:pPr>
      <w:r w:rsidRPr="00CB6231">
        <w:rPr>
          <w:rFonts w:ascii="CIDFont+F3" w:eastAsia="SimSun" w:hAnsi="CIDFont+F3" w:cs="Mangal"/>
          <w:color w:val="000000"/>
          <w:kern w:val="1"/>
          <w:sz w:val="24"/>
          <w:lang w:eastAsia="hi-IN" w:bidi="hi-IN"/>
        </w:rPr>
        <w:t>Člankom 29. Zakona o proračunu propisana je obveza da jedinice lokalne i područne</w:t>
      </w:r>
      <w:r w:rsidRPr="00CB6231">
        <w:rPr>
          <w:rFonts w:ascii="CIDFont+F3" w:eastAsia="SimSun" w:hAnsi="CIDFont+F3" w:cs="Mangal"/>
          <w:color w:val="000000"/>
          <w:kern w:val="1"/>
          <w:sz w:val="24"/>
          <w:szCs w:val="24"/>
          <w:lang w:eastAsia="hi-IN" w:bidi="hi-IN"/>
        </w:rPr>
        <w:br/>
      </w:r>
      <w:r w:rsidRPr="00CB6231">
        <w:rPr>
          <w:rFonts w:ascii="CIDFont+F3" w:eastAsia="SimSun" w:hAnsi="CIDFont+F3" w:cs="Mangal"/>
          <w:color w:val="000000"/>
          <w:kern w:val="1"/>
          <w:sz w:val="24"/>
          <w:lang w:eastAsia="hi-IN" w:bidi="hi-IN"/>
        </w:rPr>
        <w:t>(regionalne) samouprave u Općem dijelu proračuna u Računu prihoda i rashoda, rashode</w:t>
      </w:r>
      <w:r w:rsidRPr="00CB6231">
        <w:rPr>
          <w:rFonts w:ascii="CIDFont+F3" w:eastAsia="SimSun" w:hAnsi="CIDFont+F3" w:cs="Mangal"/>
          <w:color w:val="000000"/>
          <w:kern w:val="1"/>
          <w:sz w:val="24"/>
          <w:szCs w:val="24"/>
          <w:lang w:eastAsia="hi-IN" w:bidi="hi-IN"/>
        </w:rPr>
        <w:br/>
      </w:r>
      <w:r w:rsidRPr="00CB6231">
        <w:rPr>
          <w:rFonts w:ascii="CIDFont+F3" w:eastAsia="SimSun" w:hAnsi="CIDFont+F3" w:cs="Mangal"/>
          <w:color w:val="000000"/>
          <w:kern w:val="1"/>
          <w:sz w:val="24"/>
          <w:lang w:eastAsia="hi-IN" w:bidi="hi-IN"/>
        </w:rPr>
        <w:t>iskažu i prema funkcijskoj klasifikaciji. Ista je obveza propisana i proračunskim korisnicima</w:t>
      </w:r>
      <w:r w:rsidRPr="00CB6231">
        <w:rPr>
          <w:rFonts w:ascii="CIDFont+F3" w:eastAsia="SimSun" w:hAnsi="CIDFont+F3" w:cs="Mangal"/>
          <w:color w:val="000000"/>
          <w:kern w:val="1"/>
          <w:sz w:val="24"/>
          <w:szCs w:val="24"/>
          <w:lang w:eastAsia="hi-IN" w:bidi="hi-IN"/>
        </w:rPr>
        <w:br/>
      </w:r>
      <w:r w:rsidRPr="00CB6231">
        <w:rPr>
          <w:rFonts w:ascii="CIDFont+F3" w:eastAsia="SimSun" w:hAnsi="CIDFont+F3" w:cs="Mangal"/>
          <w:color w:val="000000"/>
          <w:kern w:val="1"/>
          <w:sz w:val="24"/>
          <w:lang w:eastAsia="hi-IN" w:bidi="hi-IN"/>
        </w:rPr>
        <w:t>jedinica lokalne i područne (regionalne) samouprave koji sukladno članku 34. Zakona o</w:t>
      </w:r>
      <w:r w:rsidRPr="00CB6231">
        <w:rPr>
          <w:rFonts w:ascii="CIDFont+F3" w:eastAsia="SimSun" w:hAnsi="CIDFont+F3" w:cs="Mangal"/>
          <w:color w:val="000000"/>
          <w:kern w:val="1"/>
          <w:sz w:val="24"/>
          <w:szCs w:val="24"/>
          <w:lang w:eastAsia="hi-IN" w:bidi="hi-IN"/>
        </w:rPr>
        <w:br/>
      </w:r>
      <w:r w:rsidRPr="00CB6231">
        <w:rPr>
          <w:rFonts w:ascii="CIDFont+F3" w:eastAsia="SimSun" w:hAnsi="CIDFont+F3" w:cs="Mangal"/>
          <w:color w:val="000000"/>
          <w:kern w:val="1"/>
          <w:sz w:val="24"/>
          <w:lang w:eastAsia="hi-IN" w:bidi="hi-IN"/>
        </w:rPr>
        <w:t>proračunu u Općem dijelu financijskog plana u Računu prihoda i rashoda, rashode</w:t>
      </w:r>
      <w:r w:rsidRPr="00CB6231">
        <w:rPr>
          <w:rFonts w:ascii="CIDFont+F3" w:eastAsia="SimSun" w:hAnsi="CIDFont+F3" w:cs="Mangal"/>
          <w:color w:val="000000"/>
          <w:kern w:val="1"/>
          <w:sz w:val="24"/>
          <w:szCs w:val="24"/>
          <w:lang w:eastAsia="hi-IN" w:bidi="hi-IN"/>
        </w:rPr>
        <w:br/>
      </w:r>
      <w:r w:rsidRPr="00CB6231">
        <w:rPr>
          <w:rFonts w:ascii="CIDFont+F3" w:eastAsia="SimSun" w:hAnsi="CIDFont+F3" w:cs="Mangal"/>
          <w:color w:val="000000"/>
          <w:kern w:val="1"/>
          <w:sz w:val="24"/>
          <w:lang w:eastAsia="hi-IN" w:bidi="hi-IN"/>
        </w:rPr>
        <w:t>proračunskog korisnika trebaju iskazati i prema funkcijskoj klasifikaciji</w:t>
      </w:r>
      <w:r>
        <w:rPr>
          <w:rFonts w:ascii="CIDFont+F3" w:eastAsia="SimSun" w:hAnsi="CIDFont+F3" w:cs="Mangal"/>
          <w:color w:val="000000"/>
          <w:kern w:val="1"/>
          <w:sz w:val="24"/>
          <w:lang w:eastAsia="hi-IN" w:bidi="hi-IN"/>
        </w:rPr>
        <w:t>.</w:t>
      </w:r>
    </w:p>
    <w:p w14:paraId="7B438EEA" w14:textId="77777777" w:rsidR="00CB6231" w:rsidRDefault="00CB6231" w:rsidP="00064652">
      <w:pPr>
        <w:pStyle w:val="NoSpacing"/>
        <w:rPr>
          <w:rFonts w:ascii="Times New Roman" w:hAnsi="Times New Roman"/>
          <w:sz w:val="24"/>
          <w:szCs w:val="24"/>
        </w:rPr>
      </w:pPr>
    </w:p>
    <w:p w14:paraId="69CEA5A2" w14:textId="77777777" w:rsidR="00064652" w:rsidRPr="00064652" w:rsidRDefault="00064652" w:rsidP="00064652">
      <w:pPr>
        <w:pStyle w:val="NoSpacing"/>
        <w:rPr>
          <w:rFonts w:ascii="Times New Roman" w:hAnsi="Times New Roman"/>
          <w:b/>
          <w:sz w:val="24"/>
          <w:szCs w:val="24"/>
        </w:rPr>
      </w:pPr>
      <w:r w:rsidRPr="00064652">
        <w:rPr>
          <w:rFonts w:ascii="Times New Roman" w:hAnsi="Times New Roman"/>
          <w:b/>
          <w:sz w:val="24"/>
          <w:szCs w:val="24"/>
        </w:rPr>
        <w:t>3.3. Sažetak Računa prihoda i rashoda te sažetak Računa financiranja u Općem dijelu proračuna i financijskog plana</w:t>
      </w:r>
    </w:p>
    <w:p w14:paraId="37B53728" w14:textId="77777777" w:rsidR="00064652" w:rsidRDefault="00064652" w:rsidP="00064652">
      <w:pPr>
        <w:pStyle w:val="NoSpacing"/>
        <w:rPr>
          <w:rFonts w:ascii="Times New Roman" w:hAnsi="Times New Roman"/>
          <w:sz w:val="24"/>
          <w:szCs w:val="24"/>
        </w:rPr>
      </w:pPr>
    </w:p>
    <w:p w14:paraId="3E11C44F" w14:textId="77777777" w:rsidR="00064652" w:rsidRDefault="00CB6231" w:rsidP="00064652">
      <w:pPr>
        <w:pStyle w:val="NoSpacing"/>
        <w:rPr>
          <w:rFonts w:ascii="CIDFont+F3" w:eastAsia="SimSun" w:hAnsi="CIDFont+F3" w:cs="Mangal" w:hint="eastAsia"/>
          <w:color w:val="000000"/>
          <w:kern w:val="1"/>
          <w:sz w:val="24"/>
          <w:lang w:eastAsia="hi-IN" w:bidi="hi-IN"/>
        </w:rPr>
      </w:pPr>
      <w:r w:rsidRPr="00CB6231">
        <w:rPr>
          <w:rFonts w:ascii="CIDFont+F3" w:eastAsia="SimSun" w:hAnsi="CIDFont+F3" w:cs="Mangal"/>
          <w:color w:val="000000"/>
          <w:kern w:val="1"/>
          <w:sz w:val="24"/>
          <w:lang w:eastAsia="hi-IN" w:bidi="hi-IN"/>
        </w:rPr>
        <w:t>Zakon o proračunu u članku 29. i u članku 34. propisuje da Opći dio proračuna, odnosno Opći</w:t>
      </w:r>
      <w:r w:rsidRPr="00CB6231">
        <w:rPr>
          <w:rFonts w:ascii="CIDFont+F3" w:eastAsia="SimSun" w:hAnsi="CIDFont+F3" w:cs="Mangal"/>
          <w:color w:val="000000"/>
          <w:kern w:val="1"/>
          <w:sz w:val="24"/>
          <w:szCs w:val="24"/>
          <w:lang w:eastAsia="hi-IN" w:bidi="hi-IN"/>
        </w:rPr>
        <w:br/>
      </w:r>
      <w:r w:rsidRPr="00CB6231">
        <w:rPr>
          <w:rFonts w:ascii="CIDFont+F3" w:eastAsia="SimSun" w:hAnsi="CIDFont+F3" w:cs="Mangal"/>
          <w:color w:val="000000"/>
          <w:kern w:val="1"/>
          <w:sz w:val="24"/>
          <w:lang w:eastAsia="hi-IN" w:bidi="hi-IN"/>
        </w:rPr>
        <w:t>dio financijskog plana proračunskih i izvanproračunskih korisnika obvezno sadrži i sažetak</w:t>
      </w:r>
      <w:r w:rsidRPr="00CB6231">
        <w:rPr>
          <w:rFonts w:ascii="CIDFont+F3" w:eastAsia="SimSun" w:hAnsi="CIDFont+F3" w:cs="Mangal"/>
          <w:color w:val="000000"/>
          <w:kern w:val="1"/>
          <w:sz w:val="24"/>
          <w:szCs w:val="24"/>
          <w:lang w:eastAsia="hi-IN" w:bidi="hi-IN"/>
        </w:rPr>
        <w:br/>
      </w:r>
      <w:r w:rsidRPr="00CB6231">
        <w:rPr>
          <w:rFonts w:ascii="CIDFont+F3" w:eastAsia="SimSun" w:hAnsi="CIDFont+F3" w:cs="Mangal"/>
          <w:color w:val="000000"/>
          <w:kern w:val="1"/>
          <w:sz w:val="24"/>
          <w:lang w:eastAsia="hi-IN" w:bidi="hi-IN"/>
        </w:rPr>
        <w:t>Računa prihoda i rashoda te sažetak Računa financiranja.</w:t>
      </w:r>
    </w:p>
    <w:p w14:paraId="4AA4EF2D" w14:textId="77777777" w:rsidR="00CB6231" w:rsidRDefault="00CB6231" w:rsidP="00064652">
      <w:pPr>
        <w:pStyle w:val="NoSpacing"/>
        <w:rPr>
          <w:rFonts w:ascii="Times New Roman" w:hAnsi="Times New Roman"/>
          <w:sz w:val="24"/>
          <w:szCs w:val="24"/>
        </w:rPr>
      </w:pPr>
    </w:p>
    <w:p w14:paraId="34788171" w14:textId="77777777" w:rsidR="00064652" w:rsidRDefault="00064652" w:rsidP="00064652">
      <w:pPr>
        <w:pStyle w:val="NoSpacing"/>
        <w:rPr>
          <w:rFonts w:ascii="Calibri-Bold" w:eastAsia="SimSun" w:hAnsi="Calibri-Bold" w:cs="Mangal" w:hint="eastAsia"/>
          <w:b/>
          <w:bCs/>
          <w:color w:val="000000"/>
          <w:kern w:val="1"/>
          <w:sz w:val="24"/>
          <w:lang w:eastAsia="hi-IN" w:bidi="hi-IN"/>
        </w:rPr>
      </w:pPr>
      <w:r w:rsidRPr="00064652">
        <w:rPr>
          <w:rFonts w:ascii="Times New Roman" w:hAnsi="Times New Roman"/>
          <w:b/>
          <w:sz w:val="24"/>
          <w:szCs w:val="24"/>
        </w:rPr>
        <w:t xml:space="preserve">3.4. </w:t>
      </w:r>
      <w:r w:rsidRPr="00064652">
        <w:rPr>
          <w:rFonts w:ascii="Calibri-Bold" w:eastAsia="SimSun" w:hAnsi="Calibri-Bold" w:cs="Mangal"/>
          <w:b/>
          <w:bCs/>
          <w:color w:val="000000"/>
          <w:kern w:val="1"/>
          <w:sz w:val="24"/>
          <w:lang w:eastAsia="hi-IN" w:bidi="hi-IN"/>
        </w:rPr>
        <w:t>Zakonska obveza izrade višegodišnjeg plana uravnoteženja</w:t>
      </w:r>
    </w:p>
    <w:p w14:paraId="0E0A9BB4" w14:textId="77777777" w:rsidR="00064652" w:rsidRDefault="00064652" w:rsidP="00064652">
      <w:pPr>
        <w:pStyle w:val="NoSpacing"/>
        <w:rPr>
          <w:rFonts w:ascii="Calibri-Bold" w:eastAsia="SimSun" w:hAnsi="Calibri-Bold" w:cs="Mangal" w:hint="eastAsia"/>
          <w:b/>
          <w:bCs/>
          <w:color w:val="000000"/>
          <w:kern w:val="1"/>
          <w:sz w:val="24"/>
          <w:lang w:eastAsia="hi-IN" w:bidi="hi-IN"/>
        </w:rPr>
      </w:pPr>
    </w:p>
    <w:p w14:paraId="4803FF17" w14:textId="77777777" w:rsidR="00064652" w:rsidRDefault="00064652" w:rsidP="00064652">
      <w:pPr>
        <w:pStyle w:val="NoSpacing"/>
        <w:rPr>
          <w:rFonts w:ascii="Times New Roman" w:hAnsi="Times New Roman"/>
          <w:sz w:val="24"/>
          <w:szCs w:val="24"/>
        </w:rPr>
      </w:pPr>
      <w:r w:rsidRPr="00064652">
        <w:rPr>
          <w:rFonts w:ascii="Times New Roman" w:hAnsi="Times New Roman"/>
          <w:sz w:val="24"/>
          <w:szCs w:val="24"/>
        </w:rPr>
        <w:t xml:space="preserve">Člankom 37. Zakona o proračunu propisano je ako jedinice lokalne i područne (regionalne) samouprave i njihovi proračunski i izvanproračunski korisnici ne mogu preneseni manjak podmiriti do kraja proračunske godine, obvezni su izraditi višegodišnji plan uravnoteženja za razdoblje za koje se proračun, odnosno financijski plan donosi. Isto tako, ako jedinice lokalne i područne (regionalne) samouprave i njihovi proračunski i izvanproračunski korisnici ne mogu preneseni višak, zbog njegove veličine, u cijelosti iskoristiti u jednoj proračunskoj godini, korištenje viška planira se višegodišnjim planom uravnoteženja za razdoblje za koje se proračun, odnosno financijski plan donosi. </w:t>
      </w:r>
    </w:p>
    <w:p w14:paraId="5C5DDFC2" w14:textId="77777777" w:rsidR="00CB6231" w:rsidRDefault="00CB6231" w:rsidP="00064652">
      <w:pPr>
        <w:pStyle w:val="NoSpacing"/>
        <w:rPr>
          <w:rFonts w:ascii="Times New Roman" w:hAnsi="Times New Roman"/>
          <w:sz w:val="24"/>
          <w:szCs w:val="24"/>
        </w:rPr>
      </w:pPr>
    </w:p>
    <w:p w14:paraId="185DFD7B" w14:textId="77777777" w:rsidR="00064652" w:rsidRDefault="00064652" w:rsidP="00064652">
      <w:pPr>
        <w:pStyle w:val="NoSpacing"/>
        <w:rPr>
          <w:rFonts w:ascii="Calibri-Bold" w:eastAsia="SimSun" w:hAnsi="Calibri-Bold" w:cs="Mangal" w:hint="eastAsia"/>
          <w:b/>
          <w:bCs/>
          <w:color w:val="000000"/>
          <w:kern w:val="1"/>
          <w:sz w:val="24"/>
          <w:lang w:eastAsia="hi-IN" w:bidi="hi-IN"/>
        </w:rPr>
      </w:pPr>
      <w:r w:rsidRPr="00064652">
        <w:rPr>
          <w:rFonts w:ascii="Times New Roman" w:hAnsi="Times New Roman"/>
          <w:b/>
          <w:sz w:val="24"/>
          <w:szCs w:val="24"/>
        </w:rPr>
        <w:t xml:space="preserve">3.5. </w:t>
      </w:r>
      <w:r w:rsidRPr="00064652">
        <w:rPr>
          <w:rFonts w:ascii="Calibri-Bold" w:eastAsia="SimSun" w:hAnsi="Calibri-Bold" w:cs="Mangal"/>
          <w:b/>
          <w:bCs/>
          <w:color w:val="000000"/>
          <w:kern w:val="1"/>
          <w:sz w:val="24"/>
          <w:lang w:eastAsia="hi-IN" w:bidi="hi-IN"/>
        </w:rPr>
        <w:t>Usvajanje prijedloga financijskog plana od strane upravljačkih tijela u proračunskim</w:t>
      </w:r>
      <w:r w:rsidRPr="00064652">
        <w:rPr>
          <w:rFonts w:ascii="Calibri-Bold" w:eastAsia="SimSun" w:hAnsi="Calibri-Bold" w:cs="Mangal"/>
          <w:b/>
          <w:bCs/>
          <w:color w:val="000000"/>
          <w:kern w:val="1"/>
          <w:sz w:val="24"/>
          <w:szCs w:val="24"/>
          <w:lang w:eastAsia="hi-IN" w:bidi="hi-IN"/>
        </w:rPr>
        <w:br/>
      </w:r>
      <w:r w:rsidRPr="00064652">
        <w:rPr>
          <w:rFonts w:ascii="Calibri-Bold" w:eastAsia="SimSun" w:hAnsi="Calibri-Bold" w:cs="Mangal"/>
          <w:b/>
          <w:bCs/>
          <w:color w:val="000000"/>
          <w:kern w:val="1"/>
          <w:sz w:val="24"/>
          <w:lang w:eastAsia="hi-IN" w:bidi="hi-IN"/>
        </w:rPr>
        <w:t>i izvanproračunskim korisnicima</w:t>
      </w:r>
    </w:p>
    <w:p w14:paraId="68D20FA7" w14:textId="77777777" w:rsidR="00064652" w:rsidRDefault="00064652" w:rsidP="00064652">
      <w:pPr>
        <w:pStyle w:val="NoSpacing"/>
        <w:rPr>
          <w:rFonts w:ascii="Calibri-Bold" w:eastAsia="SimSun" w:hAnsi="Calibri-Bold" w:cs="Mangal" w:hint="eastAsia"/>
          <w:b/>
          <w:bCs/>
          <w:color w:val="000000"/>
          <w:kern w:val="1"/>
          <w:sz w:val="24"/>
          <w:lang w:eastAsia="hi-IN" w:bidi="hi-IN"/>
        </w:rPr>
      </w:pPr>
    </w:p>
    <w:p w14:paraId="5DAF6DCE" w14:textId="77777777" w:rsidR="00064652" w:rsidRPr="00064652" w:rsidRDefault="00064652" w:rsidP="00064652">
      <w:pPr>
        <w:pStyle w:val="NoSpacing"/>
        <w:rPr>
          <w:rFonts w:ascii="Times New Roman" w:hAnsi="Times New Roman"/>
          <w:sz w:val="24"/>
          <w:szCs w:val="24"/>
        </w:rPr>
      </w:pPr>
      <w:r w:rsidRPr="00064652">
        <w:rPr>
          <w:rFonts w:ascii="Times New Roman" w:hAnsi="Times New Roman"/>
          <w:sz w:val="24"/>
          <w:szCs w:val="24"/>
        </w:rPr>
        <w:t>Člankom 38. stavkom 2. i člankom 39. stavkom 2. Zakona o proračunu propisano je da čelnik proračunskog i izvanproračunskog korisnika prije dostave prijedloga financijskog plana nadležnom upravnom tijelu, prijedlog financijskog plana obvezan je uputiti upravljačkom tijelu na usvajanje, ako je primjenjivo, u skladu s aktima kojima je uređen rad proračunskog, odnosno izvanproračunskog korisnika. Zakonom o proračunu je dalje uređeno da ako postoje razlike u financijskom planu proračunskog korisnika sadržanom u proračunu koji je usvojilo predstavničko tijelo u odnosu na već usvojeni prijedlog financijskog plana od strane upravljačkog tijela, upravljačko tijelo usvaja financijski plan koji je sadržan u proračunu koji je usvojilo predstavničko tijelo. Ako postoje razlike u financijskom planu izvanproračunskog korisnika na koji je predstavničko tijelo dalo suglasnost u odnosu na već usvojeni prijedlog financijskog plana od strane upravljačkog tijela, upravljačko tijelo usvaja financijski plan na koji je predstavničko tijelo dalo suglasnost.</w:t>
      </w:r>
    </w:p>
    <w:p w14:paraId="2E146682" w14:textId="77777777" w:rsidR="00064652" w:rsidRPr="00064652" w:rsidRDefault="00064652" w:rsidP="00064652">
      <w:pPr>
        <w:pStyle w:val="NoSpacing"/>
        <w:rPr>
          <w:rFonts w:ascii="Times New Roman" w:hAnsi="Times New Roman"/>
          <w:sz w:val="24"/>
          <w:szCs w:val="24"/>
        </w:rPr>
      </w:pPr>
    </w:p>
    <w:p w14:paraId="5FAD4791" w14:textId="77777777" w:rsidR="00064652" w:rsidRDefault="00064652" w:rsidP="00064652">
      <w:pPr>
        <w:pStyle w:val="NoSpacing"/>
        <w:rPr>
          <w:rFonts w:ascii="Calibri-Bold" w:eastAsia="SimSun" w:hAnsi="Calibri-Bold" w:cs="Mangal" w:hint="eastAsia"/>
          <w:b/>
          <w:bCs/>
          <w:color w:val="000000"/>
          <w:kern w:val="1"/>
          <w:sz w:val="24"/>
          <w:lang w:eastAsia="hi-IN" w:bidi="hi-IN"/>
        </w:rPr>
      </w:pPr>
      <w:r>
        <w:rPr>
          <w:rFonts w:ascii="Times New Roman" w:hAnsi="Times New Roman"/>
          <w:b/>
          <w:sz w:val="24"/>
          <w:szCs w:val="24"/>
        </w:rPr>
        <w:t xml:space="preserve">3.6. </w:t>
      </w:r>
      <w:r w:rsidRPr="00064652">
        <w:rPr>
          <w:rFonts w:ascii="Calibri-Bold" w:eastAsia="SimSun" w:hAnsi="Calibri-Bold" w:cs="Mangal"/>
          <w:b/>
          <w:bCs/>
          <w:color w:val="000000"/>
          <w:kern w:val="1"/>
          <w:sz w:val="24"/>
          <w:lang w:eastAsia="hi-IN" w:bidi="hi-IN"/>
        </w:rPr>
        <w:t>Obrazloženje – sastavni dio proračuna i financijskog plana</w:t>
      </w:r>
    </w:p>
    <w:p w14:paraId="159F6450" w14:textId="77777777" w:rsidR="00064652" w:rsidRDefault="00064652" w:rsidP="00064652">
      <w:pPr>
        <w:pStyle w:val="NoSpacing"/>
        <w:rPr>
          <w:rFonts w:ascii="Calibri-Bold" w:eastAsia="SimSun" w:hAnsi="Calibri-Bold" w:cs="Mangal" w:hint="eastAsia"/>
          <w:b/>
          <w:bCs/>
          <w:color w:val="000000"/>
          <w:kern w:val="1"/>
          <w:sz w:val="24"/>
          <w:lang w:eastAsia="hi-IN" w:bidi="hi-IN"/>
        </w:rPr>
      </w:pPr>
    </w:p>
    <w:p w14:paraId="1ED8145A" w14:textId="77777777" w:rsidR="00064652" w:rsidRDefault="00CB6231" w:rsidP="00064652">
      <w:pPr>
        <w:pStyle w:val="NoSpacing"/>
        <w:rPr>
          <w:rFonts w:ascii="CIDFont+F3" w:eastAsia="SimSun" w:hAnsi="CIDFont+F3" w:cs="Mangal" w:hint="eastAsia"/>
          <w:color w:val="000000"/>
          <w:kern w:val="1"/>
          <w:sz w:val="24"/>
          <w:lang w:eastAsia="hi-IN" w:bidi="hi-IN"/>
        </w:rPr>
      </w:pPr>
      <w:r w:rsidRPr="00CB6231">
        <w:rPr>
          <w:rFonts w:ascii="CIDFont+F3" w:eastAsia="SimSun" w:hAnsi="CIDFont+F3" w:cs="Mangal"/>
          <w:color w:val="000000"/>
          <w:kern w:val="1"/>
          <w:sz w:val="24"/>
          <w:lang w:eastAsia="hi-IN" w:bidi="hi-IN"/>
        </w:rPr>
        <w:t>U skladu s člankom 31. Zakona o proračunu, obrazloženje je sastavni dio proračuna kako na</w:t>
      </w:r>
      <w:r w:rsidRPr="00CB6231">
        <w:rPr>
          <w:rFonts w:ascii="CIDFont+F3" w:eastAsia="SimSun" w:hAnsi="CIDFont+F3" w:cs="Mangal"/>
          <w:color w:val="000000"/>
          <w:kern w:val="1"/>
          <w:sz w:val="24"/>
          <w:szCs w:val="24"/>
          <w:lang w:eastAsia="hi-IN" w:bidi="hi-IN"/>
        </w:rPr>
        <w:br/>
      </w:r>
      <w:r w:rsidRPr="00CB6231">
        <w:rPr>
          <w:rFonts w:ascii="CIDFont+F3" w:eastAsia="SimSun" w:hAnsi="CIDFont+F3" w:cs="Mangal"/>
          <w:color w:val="000000"/>
          <w:kern w:val="1"/>
          <w:sz w:val="24"/>
          <w:lang w:eastAsia="hi-IN" w:bidi="hi-IN"/>
        </w:rPr>
        <w:t>državnoj tako i na razini jedinica lokalne i područne (regionalne) samouprave, a sastoji se od</w:t>
      </w:r>
      <w:r w:rsidRPr="00CB6231">
        <w:rPr>
          <w:rFonts w:ascii="CIDFont+F3" w:eastAsia="SimSun" w:hAnsi="CIDFont+F3" w:cs="Mangal"/>
          <w:color w:val="000000"/>
          <w:kern w:val="1"/>
          <w:sz w:val="24"/>
          <w:szCs w:val="24"/>
          <w:lang w:eastAsia="hi-IN" w:bidi="hi-IN"/>
        </w:rPr>
        <w:br/>
      </w:r>
      <w:r w:rsidRPr="00CB6231">
        <w:rPr>
          <w:rFonts w:ascii="CIDFont+F3" w:eastAsia="SimSun" w:hAnsi="CIDFont+F3" w:cs="Mangal"/>
          <w:color w:val="000000"/>
          <w:kern w:val="1"/>
          <w:sz w:val="24"/>
          <w:lang w:eastAsia="hi-IN" w:bidi="hi-IN"/>
        </w:rPr>
        <w:t>obrazloženja općeg dijela proračuna i obrazloženja posebnog dijela proračuna. Člankom 36.</w:t>
      </w:r>
      <w:r w:rsidRPr="00CB6231">
        <w:rPr>
          <w:rFonts w:ascii="CIDFont+F3" w:eastAsia="SimSun" w:hAnsi="CIDFont+F3" w:cs="Mangal"/>
          <w:color w:val="000000"/>
          <w:kern w:val="1"/>
          <w:sz w:val="24"/>
          <w:szCs w:val="24"/>
          <w:lang w:eastAsia="hi-IN" w:bidi="hi-IN"/>
        </w:rPr>
        <w:br/>
      </w:r>
      <w:r w:rsidRPr="00CB6231">
        <w:rPr>
          <w:rFonts w:ascii="CIDFont+F3" w:eastAsia="SimSun" w:hAnsi="CIDFont+F3" w:cs="Mangal"/>
          <w:color w:val="000000"/>
          <w:kern w:val="1"/>
          <w:sz w:val="24"/>
          <w:lang w:eastAsia="hi-IN" w:bidi="hi-IN"/>
        </w:rPr>
        <w:t>Zakona propisana je obveza i proračunskim i izvanproračunskim korisnicima za izradu</w:t>
      </w:r>
      <w:r w:rsidRPr="00CB6231">
        <w:rPr>
          <w:rFonts w:ascii="CIDFont+F3" w:eastAsia="SimSun" w:hAnsi="CIDFont+F3" w:cs="Mangal"/>
          <w:color w:val="000000"/>
          <w:kern w:val="1"/>
          <w:sz w:val="24"/>
          <w:szCs w:val="24"/>
          <w:lang w:eastAsia="hi-IN" w:bidi="hi-IN"/>
        </w:rPr>
        <w:br/>
      </w:r>
      <w:r w:rsidRPr="00CB6231">
        <w:rPr>
          <w:rFonts w:ascii="CIDFont+F3" w:eastAsia="SimSun" w:hAnsi="CIDFont+F3" w:cs="Mangal"/>
          <w:color w:val="000000"/>
          <w:kern w:val="1"/>
          <w:sz w:val="24"/>
          <w:lang w:eastAsia="hi-IN" w:bidi="hi-IN"/>
        </w:rPr>
        <w:t>obrazloženja, i to obrazloženje uz opći dio financijskog plana i obrazloženje uz posebni dio</w:t>
      </w:r>
      <w:r w:rsidRPr="00CB6231">
        <w:rPr>
          <w:rFonts w:ascii="CIDFont+F3" w:eastAsia="SimSun" w:hAnsi="CIDFont+F3" w:cs="Mangal"/>
          <w:color w:val="000000"/>
          <w:kern w:val="1"/>
          <w:sz w:val="24"/>
          <w:szCs w:val="24"/>
          <w:lang w:eastAsia="hi-IN" w:bidi="hi-IN"/>
        </w:rPr>
        <w:br/>
      </w:r>
      <w:r w:rsidRPr="00CB6231">
        <w:rPr>
          <w:rFonts w:ascii="CIDFont+F3" w:eastAsia="SimSun" w:hAnsi="CIDFont+F3" w:cs="Mangal"/>
          <w:color w:val="000000"/>
          <w:kern w:val="1"/>
          <w:sz w:val="24"/>
          <w:lang w:eastAsia="hi-IN" w:bidi="hi-IN"/>
        </w:rPr>
        <w:t>financijskog plana.</w:t>
      </w:r>
    </w:p>
    <w:p w14:paraId="62917884" w14:textId="77777777" w:rsidR="00CB6231" w:rsidRDefault="00CB6231" w:rsidP="00064652">
      <w:pPr>
        <w:pStyle w:val="NoSpacing"/>
        <w:rPr>
          <w:rFonts w:ascii="Times New Roman" w:hAnsi="Times New Roman"/>
          <w:sz w:val="24"/>
          <w:szCs w:val="24"/>
        </w:rPr>
      </w:pPr>
    </w:p>
    <w:p w14:paraId="01C94629" w14:textId="77777777" w:rsidR="00064652" w:rsidRDefault="00064652" w:rsidP="00064652">
      <w:pPr>
        <w:pStyle w:val="NoSpacing"/>
        <w:rPr>
          <w:rFonts w:ascii="Calibri-Bold" w:eastAsia="SimSun" w:hAnsi="Calibri-Bold" w:cs="Mangal" w:hint="eastAsia"/>
          <w:b/>
          <w:bCs/>
          <w:color w:val="000000"/>
          <w:kern w:val="1"/>
          <w:sz w:val="24"/>
          <w:lang w:eastAsia="hi-IN" w:bidi="hi-IN"/>
        </w:rPr>
      </w:pPr>
      <w:r w:rsidRPr="00E756F3">
        <w:rPr>
          <w:rFonts w:ascii="Times New Roman" w:hAnsi="Times New Roman"/>
          <w:b/>
          <w:sz w:val="24"/>
          <w:szCs w:val="24"/>
        </w:rPr>
        <w:t>3.7.</w:t>
      </w:r>
      <w:r w:rsidR="00E756F3">
        <w:rPr>
          <w:rFonts w:ascii="Times New Roman" w:hAnsi="Times New Roman"/>
          <w:b/>
          <w:sz w:val="24"/>
          <w:szCs w:val="24"/>
        </w:rPr>
        <w:t xml:space="preserve"> </w:t>
      </w:r>
      <w:r w:rsidR="00E756F3" w:rsidRPr="00E756F3">
        <w:rPr>
          <w:rFonts w:ascii="Calibri-Bold" w:eastAsia="SimSun" w:hAnsi="Calibri-Bold" w:cs="Mangal"/>
          <w:b/>
          <w:bCs/>
          <w:color w:val="000000"/>
          <w:kern w:val="1"/>
          <w:sz w:val="24"/>
          <w:lang w:eastAsia="hi-IN" w:bidi="hi-IN"/>
        </w:rPr>
        <w:t>Predlaganje amandmana na proračun jedinice lokalne i područne (regionalne)</w:t>
      </w:r>
      <w:r w:rsidR="00E756F3" w:rsidRPr="00E756F3">
        <w:rPr>
          <w:rFonts w:ascii="Calibri-Bold" w:eastAsia="SimSun" w:hAnsi="Calibri-Bold" w:cs="Mangal"/>
          <w:b/>
          <w:bCs/>
          <w:color w:val="000000"/>
          <w:kern w:val="1"/>
          <w:sz w:val="24"/>
          <w:szCs w:val="24"/>
          <w:lang w:eastAsia="hi-IN" w:bidi="hi-IN"/>
        </w:rPr>
        <w:br/>
      </w:r>
      <w:r w:rsidR="00E756F3" w:rsidRPr="00E756F3">
        <w:rPr>
          <w:rFonts w:ascii="Calibri-Bold" w:eastAsia="SimSun" w:hAnsi="Calibri-Bold" w:cs="Mangal"/>
          <w:b/>
          <w:bCs/>
          <w:color w:val="000000"/>
          <w:kern w:val="1"/>
          <w:sz w:val="24"/>
          <w:lang w:eastAsia="hi-IN" w:bidi="hi-IN"/>
        </w:rPr>
        <w:t>samouprave i financijski plan izvanproračunskog korisnika jedinice lokalne i</w:t>
      </w:r>
      <w:r w:rsidR="00E756F3" w:rsidRPr="00E756F3">
        <w:rPr>
          <w:rFonts w:ascii="Calibri-Bold" w:eastAsia="SimSun" w:hAnsi="Calibri-Bold" w:cs="Mangal"/>
          <w:b/>
          <w:bCs/>
          <w:color w:val="000000"/>
          <w:kern w:val="1"/>
          <w:sz w:val="24"/>
          <w:szCs w:val="24"/>
          <w:lang w:eastAsia="hi-IN" w:bidi="hi-IN"/>
        </w:rPr>
        <w:br/>
      </w:r>
      <w:r w:rsidR="00E756F3" w:rsidRPr="00E756F3">
        <w:rPr>
          <w:rFonts w:ascii="Calibri-Bold" w:eastAsia="SimSun" w:hAnsi="Calibri-Bold" w:cs="Mangal"/>
          <w:b/>
          <w:bCs/>
          <w:color w:val="000000"/>
          <w:kern w:val="1"/>
          <w:sz w:val="24"/>
          <w:lang w:eastAsia="hi-IN" w:bidi="hi-IN"/>
        </w:rPr>
        <w:t>područne (regionalne) samouprave</w:t>
      </w:r>
    </w:p>
    <w:p w14:paraId="21953D15" w14:textId="77777777" w:rsidR="00E756F3" w:rsidRDefault="00E756F3" w:rsidP="00064652">
      <w:pPr>
        <w:pStyle w:val="NoSpacing"/>
        <w:rPr>
          <w:rFonts w:ascii="Calibri-Bold" w:eastAsia="SimSun" w:hAnsi="Calibri-Bold" w:cs="Mangal" w:hint="eastAsia"/>
          <w:b/>
          <w:bCs/>
          <w:color w:val="000000"/>
          <w:kern w:val="1"/>
          <w:sz w:val="24"/>
          <w:lang w:eastAsia="hi-IN" w:bidi="hi-IN"/>
        </w:rPr>
      </w:pPr>
    </w:p>
    <w:p w14:paraId="75550C38" w14:textId="77777777" w:rsidR="00CB6231" w:rsidRDefault="00CB6231" w:rsidP="00E756F3">
      <w:pPr>
        <w:pStyle w:val="NoSpacing"/>
        <w:rPr>
          <w:rFonts w:ascii="Times New Roman" w:hAnsi="Times New Roman"/>
          <w:sz w:val="24"/>
          <w:szCs w:val="24"/>
        </w:rPr>
      </w:pPr>
      <w:r>
        <w:rPr>
          <w:rFonts w:ascii="Times New Roman" w:hAnsi="Times New Roman"/>
          <w:sz w:val="24"/>
          <w:szCs w:val="24"/>
        </w:rPr>
        <w:t>Člankom</w:t>
      </w:r>
      <w:r w:rsidR="00E756F3" w:rsidRPr="00E756F3">
        <w:rPr>
          <w:rFonts w:ascii="Times New Roman" w:hAnsi="Times New Roman"/>
          <w:sz w:val="24"/>
          <w:szCs w:val="24"/>
        </w:rPr>
        <w:t xml:space="preserve"> 41. Zakona o proračunu detaljno uređeno predlaganje amandmana na način da se mogu podnositi amandmani kojima se predlaže:</w:t>
      </w:r>
    </w:p>
    <w:p w14:paraId="5AC2BD06" w14:textId="77777777" w:rsidR="00CB6231" w:rsidRDefault="00E756F3" w:rsidP="00E756F3">
      <w:pPr>
        <w:pStyle w:val="NoSpacing"/>
        <w:rPr>
          <w:rFonts w:ascii="Times New Roman" w:hAnsi="Times New Roman"/>
          <w:sz w:val="24"/>
          <w:szCs w:val="24"/>
        </w:rPr>
      </w:pPr>
      <w:r w:rsidRPr="00E756F3">
        <w:rPr>
          <w:rFonts w:ascii="Times New Roman" w:hAnsi="Times New Roman"/>
          <w:sz w:val="24"/>
          <w:szCs w:val="24"/>
        </w:rPr>
        <w:t xml:space="preserve"> - povećanje proračunskih rashoda iznad iznosa utvrđenih prijedlogom proračuna jedinice lokalne i područne (regionalne) samouprave i financijskim planom izvanproračunskog korisnika jedinice lokalne i područne (regionalne) samouprave pod uvjetom da se istodobno predloži smanjenje drugih rashoda u istom iznosu i unutar istih izvora financiranja u posebnom dijelu pr</w:t>
      </w:r>
      <w:r w:rsidR="00CB6231">
        <w:rPr>
          <w:rFonts w:ascii="Times New Roman" w:hAnsi="Times New Roman"/>
          <w:sz w:val="24"/>
          <w:szCs w:val="24"/>
        </w:rPr>
        <w:t xml:space="preserve">oračuna ili financijskog plana </w:t>
      </w:r>
    </w:p>
    <w:p w14:paraId="7BDA729B" w14:textId="77777777" w:rsidR="00CB6231" w:rsidRDefault="00E756F3" w:rsidP="00E756F3">
      <w:pPr>
        <w:pStyle w:val="NoSpacing"/>
        <w:rPr>
          <w:rFonts w:ascii="Times New Roman" w:hAnsi="Times New Roman"/>
          <w:sz w:val="24"/>
          <w:szCs w:val="24"/>
        </w:rPr>
      </w:pPr>
      <w:r w:rsidRPr="00E756F3">
        <w:rPr>
          <w:rFonts w:ascii="Times New Roman" w:hAnsi="Times New Roman"/>
          <w:sz w:val="24"/>
          <w:szCs w:val="24"/>
        </w:rPr>
        <w:t xml:space="preserve">- povećanje proračunskih izdataka iznad iznosa utvrđenih prijedlogom proračuna jedinice lokalne i područne (regionalne) samouprave i financijskim planom izvanproračunskog korisnika jedinice lokalne i područne (regionalne) samouprave pod uvjetom da se istodobno predloži smanjenje drugih izdataka u istom iznosu i unutar istih izvora financiranja u posebnom dijelu proračuna ili financijskog plana. </w:t>
      </w:r>
    </w:p>
    <w:p w14:paraId="066BA5F0" w14:textId="77777777" w:rsidR="00E756F3" w:rsidRDefault="00E756F3" w:rsidP="00E756F3">
      <w:pPr>
        <w:pStyle w:val="NoSpacing"/>
        <w:rPr>
          <w:rFonts w:ascii="Times New Roman" w:hAnsi="Times New Roman"/>
          <w:sz w:val="24"/>
          <w:szCs w:val="24"/>
        </w:rPr>
      </w:pPr>
    </w:p>
    <w:p w14:paraId="6AC9A4F4" w14:textId="77777777" w:rsidR="00E756F3" w:rsidRPr="00F10CFB" w:rsidRDefault="00F10CFB" w:rsidP="00E756F3">
      <w:pPr>
        <w:pStyle w:val="NoSpacing"/>
        <w:rPr>
          <w:rFonts w:ascii="Times New Roman" w:hAnsi="Times New Roman"/>
          <w:b/>
          <w:sz w:val="24"/>
          <w:szCs w:val="24"/>
        </w:rPr>
      </w:pPr>
      <w:r w:rsidRPr="00F10CFB">
        <w:rPr>
          <w:rFonts w:ascii="Times New Roman" w:hAnsi="Times New Roman"/>
          <w:b/>
          <w:sz w:val="24"/>
          <w:szCs w:val="24"/>
        </w:rPr>
        <w:t xml:space="preserve">3.8. </w:t>
      </w:r>
      <w:r w:rsidRPr="00F10CFB">
        <w:rPr>
          <w:rFonts w:ascii="Calibri-Bold" w:eastAsia="SimSun" w:hAnsi="Calibri-Bold" w:cs="Mangal"/>
          <w:b/>
          <w:bCs/>
          <w:color w:val="000000"/>
          <w:kern w:val="1"/>
          <w:sz w:val="24"/>
          <w:lang w:eastAsia="hi-IN" w:bidi="hi-IN"/>
        </w:rPr>
        <w:t>Transparentnost proračuna – zakonska obveza</w:t>
      </w:r>
    </w:p>
    <w:p w14:paraId="54CA0A64" w14:textId="77777777" w:rsidR="00E756F3" w:rsidRPr="00064652" w:rsidRDefault="00E756F3" w:rsidP="00064652">
      <w:pPr>
        <w:pStyle w:val="NoSpacing"/>
        <w:rPr>
          <w:rFonts w:ascii="Times New Roman" w:hAnsi="Times New Roman"/>
          <w:sz w:val="24"/>
          <w:szCs w:val="24"/>
        </w:rPr>
      </w:pPr>
    </w:p>
    <w:p w14:paraId="65FD91F1" w14:textId="275EE314" w:rsidR="00F10CFB" w:rsidRDefault="00F10CFB" w:rsidP="00F10CFB">
      <w:pPr>
        <w:pStyle w:val="NoSpacing"/>
        <w:rPr>
          <w:rFonts w:ascii="Times New Roman" w:hAnsi="Times New Roman"/>
          <w:sz w:val="24"/>
          <w:szCs w:val="24"/>
        </w:rPr>
      </w:pPr>
      <w:r w:rsidRPr="00F10CFB">
        <w:rPr>
          <w:rFonts w:ascii="Times New Roman" w:hAnsi="Times New Roman"/>
          <w:sz w:val="24"/>
          <w:szCs w:val="24"/>
        </w:rPr>
        <w:t>Zakonom o proračunu propisana je obveza objave proračuna i financijskih planova i ostale dokumentacije na mrežnim stranicama jedinica lokalne i područne (regionalne) samouprave i proračunskih i izvanproračunskih korisnika</w:t>
      </w:r>
      <w:r w:rsidR="00741D82">
        <w:rPr>
          <w:rFonts w:ascii="Times New Roman" w:hAnsi="Times New Roman"/>
          <w:sz w:val="24"/>
          <w:szCs w:val="24"/>
        </w:rPr>
        <w:t>.</w:t>
      </w:r>
    </w:p>
    <w:p w14:paraId="189F6CDA" w14:textId="77777777" w:rsidR="00741D82" w:rsidRDefault="00741D82" w:rsidP="00F10CFB">
      <w:pPr>
        <w:pStyle w:val="NoSpacing"/>
        <w:rPr>
          <w:rFonts w:ascii="Times New Roman" w:hAnsi="Times New Roman"/>
          <w:sz w:val="24"/>
          <w:szCs w:val="24"/>
        </w:rPr>
      </w:pPr>
    </w:p>
    <w:p w14:paraId="67B0577C" w14:textId="77777777" w:rsidR="00741D82" w:rsidRDefault="00741D82" w:rsidP="00741D82">
      <w:pPr>
        <w:rPr>
          <w:rFonts w:cs="Times New Roman"/>
          <w:color w:val="000000"/>
        </w:rPr>
      </w:pPr>
      <w:r w:rsidRPr="00F552E1">
        <w:rPr>
          <w:rFonts w:cs="Times New Roman"/>
          <w:color w:val="000000"/>
        </w:rPr>
        <w:t>Zakonom o proračunu propisana je obveza objave dokumenata i informacija o trošenju</w:t>
      </w:r>
      <w:r w:rsidRPr="00F552E1">
        <w:rPr>
          <w:rFonts w:cs="Times New Roman"/>
          <w:color w:val="000000"/>
        </w:rPr>
        <w:br/>
        <w:t>sredstava. Kako bi se osiguralo ostvarenje načela transparentnosti i slobodan pristup</w:t>
      </w:r>
      <w:r w:rsidRPr="00F552E1">
        <w:rPr>
          <w:rFonts w:cs="Times New Roman"/>
          <w:color w:val="000000"/>
        </w:rPr>
        <w:br/>
        <w:t>informacijama kao i njihovo povezivanje, preuzimanje i ponovno korištenje materijali vezani</w:t>
      </w:r>
      <w:r w:rsidRPr="00F552E1">
        <w:rPr>
          <w:rFonts w:cs="Times New Roman"/>
          <w:color w:val="000000"/>
        </w:rPr>
        <w:br/>
      </w:r>
      <w:r w:rsidRPr="00F552E1">
        <w:rPr>
          <w:rFonts w:cs="Times New Roman"/>
          <w:color w:val="000000"/>
        </w:rPr>
        <w:lastRenderedPageBreak/>
        <w:t>uz proračun i njegove izmjene objavljuju se u formatu pogodnom za daljnju obradu (word i</w:t>
      </w:r>
      <w:r w:rsidRPr="00F552E1">
        <w:rPr>
          <w:rFonts w:cs="Times New Roman"/>
          <w:color w:val="000000"/>
        </w:rPr>
        <w:br/>
      </w:r>
      <w:proofErr w:type="spellStart"/>
      <w:r w:rsidRPr="00F552E1">
        <w:rPr>
          <w:rFonts w:cs="Times New Roman"/>
          <w:color w:val="000000"/>
        </w:rPr>
        <w:t>excel</w:t>
      </w:r>
      <w:proofErr w:type="spellEnd"/>
      <w:r w:rsidRPr="00F552E1">
        <w:rPr>
          <w:rFonts w:cs="Times New Roman"/>
          <w:color w:val="000000"/>
        </w:rPr>
        <w:t>).</w:t>
      </w:r>
    </w:p>
    <w:p w14:paraId="73190E14" w14:textId="77777777" w:rsidR="00741D82" w:rsidRPr="00F552E1" w:rsidRDefault="00741D82" w:rsidP="00741D82">
      <w:pPr>
        <w:rPr>
          <w:rFonts w:cs="Times New Roman"/>
          <w:color w:val="000000"/>
        </w:rPr>
      </w:pPr>
    </w:p>
    <w:p w14:paraId="233E13E6" w14:textId="3E4441F6" w:rsidR="00741D82" w:rsidRDefault="00741D82" w:rsidP="00741D82">
      <w:pPr>
        <w:jc w:val="left"/>
        <w:rPr>
          <w:rFonts w:cs="Times New Roman"/>
          <w:color w:val="000000"/>
        </w:rPr>
      </w:pPr>
      <w:r w:rsidRPr="00F552E1">
        <w:rPr>
          <w:rFonts w:cs="Times New Roman"/>
          <w:color w:val="000000"/>
        </w:rPr>
        <w:t>Sukladno odredbama članka 144. Zakona o proračunu u nastavku navodimo obaveze</w:t>
      </w:r>
      <w:r>
        <w:rPr>
          <w:rFonts w:cs="Times New Roman"/>
          <w:color w:val="000000"/>
        </w:rPr>
        <w:t xml:space="preserve"> </w:t>
      </w:r>
      <w:r w:rsidRPr="00F552E1">
        <w:rPr>
          <w:rFonts w:cs="Times New Roman"/>
          <w:color w:val="000000"/>
        </w:rPr>
        <w:t>vezano za</w:t>
      </w:r>
      <w:r>
        <w:rPr>
          <w:rFonts w:cs="Times New Roman"/>
          <w:color w:val="000000"/>
        </w:rPr>
        <w:t xml:space="preserve"> </w:t>
      </w:r>
      <w:r w:rsidRPr="00F552E1">
        <w:rPr>
          <w:rFonts w:cs="Times New Roman"/>
          <w:color w:val="000000"/>
        </w:rPr>
        <w:t>transparentnost:</w:t>
      </w:r>
    </w:p>
    <w:p w14:paraId="1F8E1122" w14:textId="77777777" w:rsidR="00741D82" w:rsidRPr="00F552E1" w:rsidRDefault="00741D82" w:rsidP="00741D82">
      <w:pPr>
        <w:jc w:val="left"/>
        <w:rPr>
          <w:rFonts w:cs="Times New Roman"/>
          <w:b/>
          <w:bCs/>
          <w:color w:val="000000"/>
        </w:rPr>
      </w:pPr>
    </w:p>
    <w:p w14:paraId="28341022" w14:textId="77777777" w:rsidR="00741D82" w:rsidRPr="00F552E1" w:rsidRDefault="00741D82" w:rsidP="00741D82">
      <w:pPr>
        <w:rPr>
          <w:rFonts w:cs="Times New Roman"/>
        </w:rPr>
      </w:pPr>
      <w:r w:rsidRPr="00F552E1">
        <w:rPr>
          <w:rFonts w:cs="Times New Roman"/>
        </w:rPr>
        <w:sym w:font="Symbol" w:char="F0B7"/>
      </w:r>
      <w:r w:rsidRPr="00F552E1">
        <w:rPr>
          <w:rFonts w:cs="Times New Roman"/>
        </w:rPr>
        <w:t xml:space="preserve"> Proračun i izmjene i dopune proračuna, odluka o privremenom financiranju, odluka i izmjene i dopune odluke o izvršavanju proračuna jedinica lokalne i područne (regionalne) samouprave, financijski planovi i izmjene i dopune financijskih planova izvanproračunskih korisnika, polugodišnji i godišnji izvještaj o izvršenju proračuna te polugodišnji i godišnji izvještaj o izvršenju financijskog plana izvanproračunskog korisnika objavljuju se na mrežnim stranicama jedinica lokalne i područne (regionalne) samouprave i izvanproračunskog korisnika, </w:t>
      </w:r>
    </w:p>
    <w:p w14:paraId="705BA677" w14:textId="77777777" w:rsidR="00741D82" w:rsidRPr="00F552E1" w:rsidRDefault="00741D82" w:rsidP="00741D82">
      <w:pPr>
        <w:rPr>
          <w:rFonts w:cs="Times New Roman"/>
        </w:rPr>
      </w:pPr>
      <w:r w:rsidRPr="00F552E1">
        <w:rPr>
          <w:rFonts w:cs="Times New Roman"/>
        </w:rPr>
        <w:sym w:font="Symbol" w:char="F0B7"/>
      </w:r>
      <w:r w:rsidRPr="00F552E1">
        <w:rPr>
          <w:rFonts w:cs="Times New Roman"/>
        </w:rPr>
        <w:t xml:space="preserve"> Financijski plan i izmjene i dopune financijskog plana, polugodišnji i godišnji izvještaj o izvršenju financijskog plana proračunskog korisnika objavljuje se na njegovim mrežnim stranicama, odnosno na mrežnim stranicama jedinica lokalne i područne (regionalne) samouprave ako proračunski korisnik nema svoje mrežne stranice, </w:t>
      </w:r>
    </w:p>
    <w:p w14:paraId="070E1354" w14:textId="77777777" w:rsidR="00741D82" w:rsidRPr="00F552E1" w:rsidRDefault="00741D82" w:rsidP="00741D82">
      <w:pPr>
        <w:rPr>
          <w:rFonts w:cs="Times New Roman"/>
        </w:rPr>
      </w:pPr>
      <w:r w:rsidRPr="00F552E1">
        <w:rPr>
          <w:rFonts w:cs="Times New Roman"/>
        </w:rPr>
        <w:sym w:font="Symbol" w:char="F0B7"/>
      </w:r>
      <w:r w:rsidRPr="00F552E1">
        <w:rPr>
          <w:rFonts w:cs="Times New Roman"/>
        </w:rPr>
        <w:t xml:space="preserve"> Opći i posebni dio proračuna, odluka o izvršavanju proračuna jedinica lokalne i područne (regionalne) samouprave, izmjene i dopune proračuna te izmjene i dopune odluke o izvršavanju proračuna, odluka o privremenom financiranju te opći i posebni dio polugodišnjeg i godišnjeg izvještaja o izvršenju proračuna objavljuju se u službenom glasilu jedinica lokalne i područne (regionalne) samouprave, </w:t>
      </w:r>
    </w:p>
    <w:p w14:paraId="420826CD" w14:textId="77777777" w:rsidR="00741D82" w:rsidRPr="00F552E1" w:rsidRDefault="00741D82" w:rsidP="00741D82">
      <w:pPr>
        <w:rPr>
          <w:rFonts w:cs="Times New Roman"/>
        </w:rPr>
      </w:pPr>
      <w:r w:rsidRPr="00F552E1">
        <w:rPr>
          <w:rFonts w:cs="Times New Roman"/>
        </w:rPr>
        <w:sym w:font="Symbol" w:char="F0B7"/>
      </w:r>
      <w:r w:rsidRPr="00F552E1">
        <w:rPr>
          <w:rFonts w:cs="Times New Roman"/>
        </w:rPr>
        <w:t xml:space="preserve"> Opći i posebni dio polugodišnjeg i godišnjeg izvještaja o izvršenju financijskog plana izvanproračunskog korisnika objavljuju se u službenom glasilu jedinica lokalne i područne (regionalne) samouprave, </w:t>
      </w:r>
    </w:p>
    <w:p w14:paraId="4DC56388" w14:textId="77777777" w:rsidR="00741D82" w:rsidRPr="00F552E1" w:rsidRDefault="00741D82" w:rsidP="00741D82">
      <w:pPr>
        <w:rPr>
          <w:rFonts w:cs="Times New Roman"/>
        </w:rPr>
      </w:pPr>
      <w:r w:rsidRPr="00F552E1">
        <w:rPr>
          <w:rFonts w:cs="Times New Roman"/>
        </w:rPr>
        <w:sym w:font="Symbol" w:char="F0B7"/>
      </w:r>
      <w:r w:rsidRPr="00F552E1">
        <w:rPr>
          <w:rFonts w:cs="Times New Roman"/>
        </w:rPr>
        <w:t xml:space="preserve"> Vodič za građane o proračunu, izmjenama i dopunama proračuna te polugodišnjem i godišnjem izvještaju o izvršenju proračuna objavljuje se na mrežnim stranicama jedinica lokalne i područne (regionalne) samouprave. </w:t>
      </w:r>
    </w:p>
    <w:p w14:paraId="2888492D" w14:textId="77777777" w:rsidR="00741D82" w:rsidRDefault="00741D82" w:rsidP="00741D82">
      <w:pPr>
        <w:rPr>
          <w:rFonts w:ascii="Calibri-Bold" w:hAnsi="Calibri-Bold" w:hint="eastAsia"/>
          <w:b/>
          <w:bCs/>
          <w:color w:val="000000"/>
        </w:rPr>
      </w:pPr>
    </w:p>
    <w:p w14:paraId="0F6C04FD" w14:textId="77777777" w:rsidR="00741D82" w:rsidRDefault="00741D82" w:rsidP="00741D82">
      <w:pPr>
        <w:rPr>
          <w:rFonts w:cs="Times New Roman"/>
        </w:rPr>
      </w:pPr>
      <w:r w:rsidRPr="00F552E1">
        <w:rPr>
          <w:rFonts w:cs="Times New Roman"/>
        </w:rPr>
        <w:t xml:space="preserve">U skladu sa dosadašnjom praksom, a vezano za transparentnost proračuna, Ministarstvo financija i dalje preporuča jedinicama lokalne i područne (regionalne) samouprave da na svojim mrežnim stranicama: </w:t>
      </w:r>
    </w:p>
    <w:p w14:paraId="3E0815E2" w14:textId="77777777" w:rsidR="00741D82" w:rsidRPr="00F552E1" w:rsidRDefault="00741D82" w:rsidP="00741D82">
      <w:pPr>
        <w:rPr>
          <w:rFonts w:cs="Times New Roman"/>
        </w:rPr>
      </w:pPr>
    </w:p>
    <w:p w14:paraId="573C4CE0" w14:textId="77777777" w:rsidR="00741D82" w:rsidRPr="00F552E1" w:rsidRDefault="00741D82" w:rsidP="00741D82">
      <w:pPr>
        <w:rPr>
          <w:rFonts w:cs="Times New Roman"/>
        </w:rPr>
      </w:pPr>
      <w:r w:rsidRPr="00F552E1">
        <w:rPr>
          <w:rFonts w:cs="Times New Roman"/>
        </w:rPr>
        <w:sym w:font="Symbol" w:char="F0B7"/>
      </w:r>
      <w:r w:rsidRPr="00F552E1">
        <w:rPr>
          <w:rFonts w:cs="Times New Roman"/>
        </w:rPr>
        <w:t xml:space="preserve"> sve ključne proračunske dokumente (a posebice prijedlog proračuna, izglasani proračun, izmjene i dopune proračuna, proračunski vodič, polugodišnji i godišnji izvještaji o izvršenju proračuna) objavljuju u jedinstvenom folderu nazvanom PRORAČUN, na kojeg postoji direktan link s naslovne stranice, </w:t>
      </w:r>
    </w:p>
    <w:p w14:paraId="3F5E1C0B" w14:textId="77777777" w:rsidR="00741D82" w:rsidRPr="00F552E1" w:rsidRDefault="00741D82" w:rsidP="00741D82">
      <w:pPr>
        <w:rPr>
          <w:rFonts w:cs="Times New Roman"/>
        </w:rPr>
      </w:pPr>
      <w:r w:rsidRPr="00F552E1">
        <w:rPr>
          <w:rFonts w:cs="Times New Roman"/>
        </w:rPr>
        <w:sym w:font="Symbol" w:char="F0B7"/>
      </w:r>
      <w:r w:rsidRPr="00F552E1">
        <w:rPr>
          <w:rFonts w:cs="Times New Roman"/>
        </w:rPr>
        <w:t xml:space="preserve"> pri objavi prijedloga proračuna, izglasanog proračuna te izmjena i dopuna proračuna objavljuju kompletan sadržaj tih proračunskih dokumenata (opći i posebni dio proračuna), </w:t>
      </w:r>
    </w:p>
    <w:p w14:paraId="1866B6B4" w14:textId="77777777" w:rsidR="00741D82" w:rsidRPr="00F552E1" w:rsidRDefault="00741D82" w:rsidP="00741D82">
      <w:pPr>
        <w:rPr>
          <w:rFonts w:cs="Times New Roman"/>
        </w:rPr>
      </w:pPr>
      <w:r w:rsidRPr="00F552E1">
        <w:rPr>
          <w:rFonts w:cs="Times New Roman"/>
        </w:rPr>
        <w:sym w:font="Symbol" w:char="F0B7"/>
      </w:r>
      <w:r w:rsidRPr="00F552E1">
        <w:rPr>
          <w:rFonts w:cs="Times New Roman"/>
        </w:rPr>
        <w:t xml:space="preserve"> usvojeni proračuni objavljuju, sukladno odredbama Zakona o proračunu, za proračunsku godinu i za sljedeće dvije godine na drugoj razini računskoga plana (na razini skupine) i </w:t>
      </w:r>
    </w:p>
    <w:p w14:paraId="377BCFAA" w14:textId="77777777" w:rsidR="00741D82" w:rsidRPr="00F552E1" w:rsidRDefault="00741D82" w:rsidP="00741D82">
      <w:pPr>
        <w:rPr>
          <w:rFonts w:cs="Times New Roman"/>
          <w:b/>
          <w:bCs/>
          <w:color w:val="000000"/>
        </w:rPr>
      </w:pPr>
      <w:r w:rsidRPr="00F552E1">
        <w:rPr>
          <w:rFonts w:cs="Times New Roman"/>
        </w:rPr>
        <w:sym w:font="Symbol" w:char="F0B7"/>
      </w:r>
      <w:r w:rsidRPr="00F552E1">
        <w:rPr>
          <w:rFonts w:cs="Times New Roman"/>
        </w:rPr>
        <w:t xml:space="preserve"> proračunske vodiče za građane, na zahtjev građana, distribuiraju građanima svake godine u obliku brošure (fizičke i elektroničke), o trošku proračuna.</w:t>
      </w:r>
    </w:p>
    <w:p w14:paraId="23DA700C" w14:textId="77777777" w:rsidR="00741D82" w:rsidRDefault="00741D82" w:rsidP="00741D82">
      <w:pPr>
        <w:rPr>
          <w:rFonts w:ascii="Calibri-Bold" w:hAnsi="Calibri-Bold" w:hint="eastAsia"/>
          <w:b/>
          <w:bCs/>
          <w:color w:val="000000"/>
        </w:rPr>
      </w:pPr>
    </w:p>
    <w:p w14:paraId="0E09342F" w14:textId="3AC8B71C" w:rsidR="00741D82" w:rsidRDefault="00741D82" w:rsidP="00741D82">
      <w:pPr>
        <w:rPr>
          <w:rFonts w:cs="Times New Roman"/>
          <w:bCs/>
          <w:color w:val="000000"/>
        </w:rPr>
      </w:pPr>
      <w:r w:rsidRPr="00F552E1">
        <w:rPr>
          <w:rFonts w:cs="Times New Roman"/>
          <w:color w:val="000000"/>
        </w:rPr>
        <w:t xml:space="preserve">Zakonom o lokalnoj i područnoj (regionalnoj) samoupravi propisano je da su općina, grad i županija </w:t>
      </w:r>
      <w:r w:rsidRPr="00F552E1">
        <w:rPr>
          <w:rFonts w:cs="Times New Roman"/>
          <w:bCs/>
          <w:color w:val="000000"/>
        </w:rPr>
        <w:t xml:space="preserve">dužne </w:t>
      </w:r>
      <w:r w:rsidRPr="00F552E1">
        <w:rPr>
          <w:rFonts w:cs="Times New Roman"/>
          <w:color w:val="000000"/>
        </w:rPr>
        <w:t>na svojim mrežnim</w:t>
      </w:r>
      <w:r>
        <w:rPr>
          <w:rFonts w:cs="Times New Roman"/>
          <w:color w:val="000000"/>
        </w:rPr>
        <w:t xml:space="preserve"> </w:t>
      </w:r>
      <w:r w:rsidRPr="00F552E1">
        <w:rPr>
          <w:rFonts w:cs="Times New Roman"/>
          <w:color w:val="000000"/>
        </w:rPr>
        <w:t xml:space="preserve">stranicama </w:t>
      </w:r>
      <w:r w:rsidRPr="00F552E1">
        <w:rPr>
          <w:rFonts w:cs="Times New Roman"/>
          <w:bCs/>
          <w:color w:val="000000"/>
        </w:rPr>
        <w:t xml:space="preserve">javno objaviti informacije o trošenju proračunskih sredstava </w:t>
      </w:r>
      <w:r w:rsidRPr="00F552E1">
        <w:rPr>
          <w:rFonts w:cs="Times New Roman"/>
          <w:color w:val="000000"/>
        </w:rPr>
        <w:t>tako da te</w:t>
      </w:r>
      <w:r>
        <w:rPr>
          <w:rFonts w:cs="Times New Roman"/>
          <w:color w:val="000000"/>
        </w:rPr>
        <w:t xml:space="preserve"> </w:t>
      </w:r>
      <w:r w:rsidRPr="00F552E1">
        <w:rPr>
          <w:rFonts w:cs="Times New Roman"/>
          <w:color w:val="000000"/>
        </w:rPr>
        <w:t xml:space="preserve">informacije budu lako dostupne i </w:t>
      </w:r>
      <w:proofErr w:type="spellStart"/>
      <w:r w:rsidRPr="00F552E1">
        <w:rPr>
          <w:rFonts w:cs="Times New Roman"/>
          <w:color w:val="000000"/>
        </w:rPr>
        <w:t>pretražive</w:t>
      </w:r>
      <w:proofErr w:type="spellEnd"/>
      <w:r w:rsidRPr="00F552E1">
        <w:rPr>
          <w:rFonts w:cs="Times New Roman"/>
          <w:color w:val="000000"/>
        </w:rPr>
        <w:t>. Zakonom o proračunu također je propisano da</w:t>
      </w:r>
      <w:r>
        <w:rPr>
          <w:rFonts w:cs="Times New Roman"/>
          <w:color w:val="000000"/>
        </w:rPr>
        <w:t xml:space="preserve"> </w:t>
      </w:r>
      <w:r w:rsidRPr="00F552E1">
        <w:rPr>
          <w:rFonts w:cs="Times New Roman"/>
          <w:bCs/>
          <w:color w:val="000000"/>
        </w:rPr>
        <w:t>su jedinice lokalne i područne (regionalne) samouprave, proračunski i izvanproračunski</w:t>
      </w:r>
      <w:r>
        <w:rPr>
          <w:rFonts w:cs="Times New Roman"/>
          <w:bCs/>
          <w:color w:val="000000"/>
        </w:rPr>
        <w:t xml:space="preserve"> </w:t>
      </w:r>
      <w:r w:rsidRPr="00F552E1">
        <w:rPr>
          <w:rFonts w:cs="Times New Roman"/>
          <w:bCs/>
          <w:color w:val="000000"/>
        </w:rPr>
        <w:t>korisnici dužni javno objavljivati informacije o trošenju sredstava na svojim mrežnim</w:t>
      </w:r>
      <w:r>
        <w:rPr>
          <w:rFonts w:cs="Times New Roman"/>
          <w:bCs/>
          <w:color w:val="000000"/>
        </w:rPr>
        <w:t xml:space="preserve"> </w:t>
      </w:r>
      <w:r w:rsidRPr="00F552E1">
        <w:rPr>
          <w:rFonts w:cs="Times New Roman"/>
          <w:bCs/>
          <w:color w:val="000000"/>
        </w:rPr>
        <w:t xml:space="preserve">stranicama na način da te informacije budu lako dostupne, </w:t>
      </w:r>
      <w:proofErr w:type="spellStart"/>
      <w:r w:rsidRPr="00F552E1">
        <w:rPr>
          <w:rFonts w:cs="Times New Roman"/>
          <w:bCs/>
          <w:color w:val="000000"/>
        </w:rPr>
        <w:t>pretražive</w:t>
      </w:r>
      <w:proofErr w:type="spellEnd"/>
      <w:r w:rsidRPr="00F552E1">
        <w:rPr>
          <w:rFonts w:cs="Times New Roman"/>
          <w:bCs/>
          <w:color w:val="000000"/>
        </w:rPr>
        <w:t xml:space="preserve"> i strojno čitljive.</w:t>
      </w:r>
    </w:p>
    <w:p w14:paraId="1223AEEB" w14:textId="1BD2B4A3" w:rsidR="00741D82" w:rsidRDefault="00741D82" w:rsidP="00741D82">
      <w:pPr>
        <w:rPr>
          <w:rFonts w:ascii="CIDFont+F3" w:hAnsi="CIDFont+F3" w:hint="eastAsia"/>
          <w:color w:val="000000"/>
        </w:rPr>
      </w:pPr>
      <w:r w:rsidRPr="00F552E1">
        <w:rPr>
          <w:rFonts w:cs="Times New Roman"/>
          <w:bCs/>
          <w:color w:val="000000"/>
        </w:rPr>
        <w:br/>
      </w:r>
      <w:r w:rsidRPr="00D171B5">
        <w:rPr>
          <w:rFonts w:ascii="CIDFont+F3" w:hAnsi="CIDFont+F3"/>
          <w:color w:val="000000"/>
        </w:rPr>
        <w:t xml:space="preserve">Ministar financija je, sukladno članku 144. Zakona o proračunu </w:t>
      </w:r>
      <w:r>
        <w:rPr>
          <w:rFonts w:ascii="CIDFont+F3" w:hAnsi="CIDFont+F3"/>
          <w:color w:val="000000"/>
        </w:rPr>
        <w:t xml:space="preserve"> </w:t>
      </w:r>
      <w:r w:rsidRPr="00D171B5">
        <w:rPr>
          <w:rFonts w:ascii="CIDFont+F3" w:hAnsi="CIDFont+F3"/>
          <w:color w:val="000000"/>
        </w:rPr>
        <w:t xml:space="preserve">donio </w:t>
      </w:r>
      <w:r w:rsidRPr="00D171B5">
        <w:rPr>
          <w:rFonts w:ascii="CIDFont+F2" w:hAnsi="CIDFont+F2"/>
          <w:bCs/>
          <w:color w:val="000000"/>
        </w:rPr>
        <w:t>Naputak o okvirnom sadržaju, minimalnom skupu podataka te načinu javne objave</w:t>
      </w:r>
      <w:r>
        <w:rPr>
          <w:rFonts w:ascii="CIDFont+F2" w:hAnsi="CIDFont+F2"/>
          <w:bCs/>
          <w:color w:val="000000"/>
        </w:rPr>
        <w:t xml:space="preserve"> </w:t>
      </w:r>
      <w:r w:rsidRPr="00D171B5">
        <w:rPr>
          <w:rFonts w:ascii="CIDFont+F2" w:hAnsi="CIDFont+F2"/>
          <w:bCs/>
          <w:color w:val="000000"/>
        </w:rPr>
        <w:t xml:space="preserve">informacija o trošenju sredstava na </w:t>
      </w:r>
      <w:r w:rsidRPr="00D171B5">
        <w:rPr>
          <w:rFonts w:ascii="CIDFont+F2" w:hAnsi="CIDFont+F2"/>
          <w:bCs/>
          <w:color w:val="000000"/>
        </w:rPr>
        <w:lastRenderedPageBreak/>
        <w:t>mrežnim stranicama jedinica lokalne i područne</w:t>
      </w:r>
      <w:r>
        <w:rPr>
          <w:rFonts w:ascii="CIDFont+F2" w:hAnsi="CIDFont+F2"/>
          <w:bCs/>
          <w:color w:val="000000"/>
        </w:rPr>
        <w:t xml:space="preserve"> </w:t>
      </w:r>
      <w:r w:rsidRPr="00D171B5">
        <w:rPr>
          <w:rFonts w:ascii="CIDFont+F2" w:hAnsi="CIDFont+F2"/>
          <w:bCs/>
          <w:color w:val="000000"/>
        </w:rPr>
        <w:t>(regionalne) samouprave te proračunskih i izvanproračunskih korisnika državnog proračuna</w:t>
      </w:r>
      <w:r>
        <w:rPr>
          <w:rFonts w:ascii="CIDFont+F2" w:hAnsi="CIDFont+F2"/>
          <w:bCs/>
          <w:color w:val="000000"/>
        </w:rPr>
        <w:t xml:space="preserve"> </w:t>
      </w:r>
      <w:r w:rsidRPr="00D171B5">
        <w:rPr>
          <w:rFonts w:ascii="CIDFont+F2" w:hAnsi="CIDFont+F2"/>
          <w:bCs/>
          <w:color w:val="000000"/>
        </w:rPr>
        <w:t>i proračuna jedinica lokalne i područne (regionalne) samouprave</w:t>
      </w:r>
      <w:r w:rsidRPr="00D171B5">
        <w:rPr>
          <w:rFonts w:ascii="CIDFont+F3" w:hAnsi="CIDFont+F3"/>
          <w:color w:val="000000"/>
        </w:rPr>
        <w:t>. Obveznici primjene Naputka su jedinice lokalne i područne (regionalne) samouprave,</w:t>
      </w:r>
      <w:r>
        <w:rPr>
          <w:rFonts w:ascii="CIDFont+F3" w:hAnsi="CIDFont+F3"/>
          <w:color w:val="000000"/>
        </w:rPr>
        <w:t xml:space="preserve"> </w:t>
      </w:r>
      <w:r w:rsidRPr="00D171B5">
        <w:rPr>
          <w:rFonts w:ascii="CIDFont+F3" w:hAnsi="CIDFont+F3"/>
          <w:color w:val="000000"/>
        </w:rPr>
        <w:t>proračunski i izvanproračunski korisnici državnog proračuna i proračuna jedinica lokalne i</w:t>
      </w:r>
      <w:r>
        <w:rPr>
          <w:rFonts w:ascii="CIDFont+F3" w:hAnsi="CIDFont+F3"/>
          <w:color w:val="000000"/>
        </w:rPr>
        <w:t xml:space="preserve"> </w:t>
      </w:r>
      <w:r w:rsidRPr="00D171B5">
        <w:rPr>
          <w:rFonts w:ascii="CIDFont+F3" w:hAnsi="CIDFont+F3"/>
          <w:color w:val="000000"/>
        </w:rPr>
        <w:t>područne (regionalne) samouprave.</w:t>
      </w:r>
      <w:r>
        <w:rPr>
          <w:rFonts w:ascii="CIDFont+F3" w:hAnsi="CIDFont+F3"/>
          <w:color w:val="000000"/>
        </w:rPr>
        <w:t xml:space="preserve"> </w:t>
      </w:r>
      <w:r w:rsidRPr="00D171B5">
        <w:rPr>
          <w:rFonts w:ascii="CIDFont+F3" w:hAnsi="CIDFont+F3"/>
          <w:color w:val="000000"/>
        </w:rPr>
        <w:t>Naputkom se propisuje okvirni sadržaj, minimalni skup podataka te način javne objave</w:t>
      </w:r>
      <w:r>
        <w:rPr>
          <w:rFonts w:ascii="CIDFont+F3" w:hAnsi="CIDFont+F3"/>
          <w:color w:val="000000"/>
        </w:rPr>
        <w:t xml:space="preserve"> </w:t>
      </w:r>
      <w:r w:rsidRPr="00D171B5">
        <w:rPr>
          <w:rFonts w:ascii="CIDFont+F3" w:hAnsi="CIDFont+F3"/>
          <w:color w:val="000000"/>
        </w:rPr>
        <w:t>informacija o trošenju sredstava na mrežnim stranicama jedinica lokalne i područne</w:t>
      </w:r>
      <w:r>
        <w:rPr>
          <w:rFonts w:ascii="CIDFont+F3" w:hAnsi="CIDFont+F3"/>
          <w:color w:val="000000"/>
        </w:rPr>
        <w:t xml:space="preserve"> </w:t>
      </w:r>
      <w:r w:rsidRPr="00D171B5">
        <w:rPr>
          <w:rFonts w:ascii="CIDFont+F3" w:hAnsi="CIDFont+F3"/>
          <w:color w:val="000000"/>
        </w:rPr>
        <w:t>(regionalne) samouprave te proračunskih korisnika u njihovoj nadležnosti.</w:t>
      </w:r>
    </w:p>
    <w:p w14:paraId="4BD4AECE" w14:textId="77777777" w:rsidR="004C381B" w:rsidRDefault="004C381B" w:rsidP="004C381B">
      <w:pPr>
        <w:rPr>
          <w:rFonts w:cs="Arial"/>
          <w:b/>
          <w:bCs/>
          <w:color w:val="000000"/>
        </w:rPr>
      </w:pPr>
    </w:p>
    <w:p w14:paraId="3942F006" w14:textId="77777777" w:rsidR="00CA304C" w:rsidRPr="006458B6" w:rsidRDefault="00CA304C" w:rsidP="004C381B">
      <w:pPr>
        <w:rPr>
          <w:rFonts w:cs="Arial"/>
          <w:b/>
          <w:bCs/>
        </w:rPr>
      </w:pPr>
      <w:r w:rsidRPr="006458B6">
        <w:rPr>
          <w:rFonts w:cs="Arial"/>
          <w:b/>
          <w:bCs/>
        </w:rPr>
        <w:t>3.9. Novosti koje utječu</w:t>
      </w:r>
      <w:r w:rsidR="008850E8" w:rsidRPr="006458B6">
        <w:rPr>
          <w:rFonts w:cs="Arial"/>
          <w:b/>
          <w:bCs/>
        </w:rPr>
        <w:t xml:space="preserve"> na</w:t>
      </w:r>
      <w:r w:rsidRPr="006458B6">
        <w:rPr>
          <w:rFonts w:cs="Arial"/>
          <w:b/>
          <w:bCs/>
        </w:rPr>
        <w:t xml:space="preserve"> proračun i financijske planove</w:t>
      </w:r>
    </w:p>
    <w:p w14:paraId="57FEF231" w14:textId="77777777" w:rsidR="00CA304C" w:rsidRPr="006458B6" w:rsidRDefault="00CA304C" w:rsidP="004C381B">
      <w:pPr>
        <w:rPr>
          <w:rFonts w:cs="Arial"/>
          <w:b/>
          <w:bCs/>
        </w:rPr>
      </w:pPr>
    </w:p>
    <w:p w14:paraId="6A9E1DBC" w14:textId="16FDC1B9" w:rsidR="00CA304C" w:rsidRPr="006458B6" w:rsidRDefault="00CA304C" w:rsidP="004C381B">
      <w:pPr>
        <w:rPr>
          <w:rFonts w:ascii="CIDFont+F3" w:hAnsi="CIDFont+F3" w:hint="eastAsia"/>
        </w:rPr>
      </w:pPr>
      <w:r w:rsidRPr="006458B6">
        <w:rPr>
          <w:rFonts w:ascii="CIDFont+F3" w:hAnsi="CIDFont+F3"/>
        </w:rPr>
        <w:t>Novosti koje utječu na proračune jedinica lokalne i područne (regionalne) samouprave kao i</w:t>
      </w:r>
      <w:r w:rsidRPr="006458B6">
        <w:rPr>
          <w:rFonts w:ascii="CIDFont+F3" w:hAnsi="CIDFont+F3"/>
        </w:rPr>
        <w:br/>
        <w:t>na financijske planove njihovih proračunskih i izvanproračunskih korisnika vezane su uz</w:t>
      </w:r>
      <w:r w:rsidRPr="006458B6">
        <w:rPr>
          <w:rFonts w:ascii="CIDFont+F3" w:hAnsi="CIDFont+F3"/>
        </w:rPr>
        <w:br/>
        <w:t xml:space="preserve">izmjene </w:t>
      </w:r>
      <w:bookmarkStart w:id="0" w:name="_Hlk180499907"/>
      <w:r w:rsidRPr="006458B6">
        <w:rPr>
          <w:rFonts w:ascii="CIDFont+F3" w:hAnsi="CIDFont+F3"/>
        </w:rPr>
        <w:t>propisa iz proračunske regulative</w:t>
      </w:r>
      <w:bookmarkEnd w:id="0"/>
      <w:r w:rsidRPr="006458B6">
        <w:rPr>
          <w:rFonts w:ascii="CIDFont+F3" w:hAnsi="CIDFont+F3"/>
        </w:rPr>
        <w:t>.</w:t>
      </w:r>
    </w:p>
    <w:p w14:paraId="00906333" w14:textId="77777777" w:rsidR="00A46BE3" w:rsidRPr="00686998" w:rsidRDefault="00A46BE3" w:rsidP="004C381B">
      <w:pPr>
        <w:rPr>
          <w:rFonts w:ascii="CIDFont+F2" w:hAnsi="CIDFont+F2" w:hint="eastAsia"/>
          <w:bCs/>
        </w:rPr>
      </w:pPr>
    </w:p>
    <w:p w14:paraId="3E3A5D3E" w14:textId="3B3531C2" w:rsidR="00A46BE3" w:rsidRPr="00686998" w:rsidRDefault="00A46BE3" w:rsidP="004C381B">
      <w:pPr>
        <w:rPr>
          <w:rFonts w:ascii="CIDFont+F2" w:hAnsi="CIDFont+F2" w:hint="eastAsia"/>
          <w:b/>
          <w:bCs/>
        </w:rPr>
      </w:pPr>
      <w:r w:rsidRPr="00686998">
        <w:rPr>
          <w:rFonts w:ascii="CIDFont+F2" w:hAnsi="CIDFont+F2"/>
          <w:b/>
          <w:bCs/>
        </w:rPr>
        <w:t>3.9.</w:t>
      </w:r>
      <w:r w:rsidR="00021BDA">
        <w:rPr>
          <w:rFonts w:ascii="CIDFont+F2" w:hAnsi="CIDFont+F2"/>
          <w:b/>
          <w:bCs/>
        </w:rPr>
        <w:t>1</w:t>
      </w:r>
      <w:r w:rsidRPr="00686998">
        <w:rPr>
          <w:rFonts w:ascii="CIDFont+F2" w:hAnsi="CIDFont+F2"/>
          <w:b/>
          <w:bCs/>
        </w:rPr>
        <w:t xml:space="preserve">. Izmjene </w:t>
      </w:r>
      <w:r w:rsidR="00686998" w:rsidRPr="00686998">
        <w:rPr>
          <w:rFonts w:ascii="CIDFont+F2" w:hAnsi="CIDFont+F2"/>
          <w:b/>
          <w:bCs/>
        </w:rPr>
        <w:t>propisa iz proračunske regulative</w:t>
      </w:r>
    </w:p>
    <w:p w14:paraId="7876D762" w14:textId="77777777" w:rsidR="00686998" w:rsidRPr="00686998" w:rsidRDefault="00686998" w:rsidP="004C381B">
      <w:pPr>
        <w:rPr>
          <w:rFonts w:ascii="CIDFont+F2" w:hAnsi="CIDFont+F2" w:hint="eastAsia"/>
          <w:b/>
          <w:bCs/>
        </w:rPr>
      </w:pPr>
    </w:p>
    <w:p w14:paraId="12E8BEC5" w14:textId="7526BC73" w:rsidR="000C4EBB" w:rsidRDefault="000C4EBB" w:rsidP="000C4EBB">
      <w:pPr>
        <w:pStyle w:val="NoSpacing"/>
        <w:rPr>
          <w:rFonts w:ascii="Times New Roman" w:hAnsi="Times New Roman"/>
          <w:sz w:val="24"/>
          <w:szCs w:val="24"/>
        </w:rPr>
      </w:pPr>
      <w:r w:rsidRPr="00633088">
        <w:rPr>
          <w:rFonts w:ascii="Times New Roman" w:hAnsi="Times New Roman"/>
          <w:b/>
          <w:bCs/>
          <w:sz w:val="24"/>
          <w:szCs w:val="24"/>
          <w:u w:val="single"/>
        </w:rPr>
        <w:t>Pravilnik o planiranju u sustavu proračuna u primjeni je od proračunskog procesa za razdoblje 2025. – 2027.</w:t>
      </w:r>
      <w:r w:rsidRPr="005D7A90">
        <w:rPr>
          <w:rFonts w:ascii="Times New Roman" w:hAnsi="Times New Roman"/>
          <w:sz w:val="24"/>
          <w:szCs w:val="24"/>
        </w:rPr>
        <w:t xml:space="preserve"> </w:t>
      </w:r>
      <w:r w:rsidR="00BF128A">
        <w:rPr>
          <w:rFonts w:ascii="Times New Roman" w:hAnsi="Times New Roman"/>
          <w:sz w:val="24"/>
          <w:szCs w:val="24"/>
        </w:rPr>
        <w:t xml:space="preserve">te </w:t>
      </w:r>
      <w:r w:rsidRPr="005D7A90">
        <w:rPr>
          <w:rFonts w:ascii="Times New Roman" w:hAnsi="Times New Roman"/>
          <w:sz w:val="24"/>
          <w:szCs w:val="24"/>
        </w:rPr>
        <w:t>propisuje</w:t>
      </w:r>
      <w:r>
        <w:rPr>
          <w:rFonts w:ascii="Times New Roman" w:hAnsi="Times New Roman"/>
          <w:sz w:val="24"/>
          <w:szCs w:val="24"/>
        </w:rPr>
        <w:t xml:space="preserve">: </w:t>
      </w:r>
      <w:r w:rsidRPr="005D7A90">
        <w:rPr>
          <w:rFonts w:ascii="Times New Roman" w:hAnsi="Times New Roman"/>
          <w:sz w:val="24"/>
          <w:szCs w:val="24"/>
        </w:rPr>
        <w:t>način primjene modificiranog novčanog načela, odnosno modificiranog obračunskog načela u postupku planiranja i izvršavanja proračuna i financijskog plana, izgled i sadržaj, dostava i objava proračuna odnosno financijskog plana, rebalansa proračuna i financijskog plana te uvjeti i pravila preraspodjele sredstava proračuna. Pravilnik u člancima 10. do 13., sadrži detaljne odredbe vezane uz primjenu modificiranog obračunskog načela u izradi proračuna jedinica lokalne i područne (regionalne) samouprave i financijskih planova. Sadržaj i izgled proračuna i financijskog plana propisan je člancima 14. do 24. te člancima 28. do 40. Pravilnika.</w:t>
      </w:r>
    </w:p>
    <w:p w14:paraId="05EB359B" w14:textId="77777777" w:rsidR="000C4EBB" w:rsidRDefault="000C4EBB" w:rsidP="000C4EBB">
      <w:pPr>
        <w:pStyle w:val="NoSpacing"/>
        <w:rPr>
          <w:rFonts w:ascii="Times New Roman" w:hAnsi="Times New Roman"/>
          <w:sz w:val="24"/>
          <w:szCs w:val="24"/>
        </w:rPr>
      </w:pPr>
    </w:p>
    <w:p w14:paraId="2B742AF7" w14:textId="722DB1B3" w:rsidR="000C4EBB" w:rsidRDefault="000C4EBB" w:rsidP="000C4EBB">
      <w:pPr>
        <w:pStyle w:val="NoSpacing"/>
        <w:rPr>
          <w:rFonts w:ascii="Times New Roman" w:hAnsi="Times New Roman"/>
          <w:sz w:val="24"/>
          <w:szCs w:val="24"/>
        </w:rPr>
      </w:pPr>
      <w:r w:rsidRPr="008B52E7">
        <w:rPr>
          <w:rFonts w:ascii="Times New Roman" w:hAnsi="Times New Roman"/>
          <w:sz w:val="24"/>
          <w:szCs w:val="24"/>
        </w:rPr>
        <w:t xml:space="preserve">U planiranju proračuna i financijskih planova za 2026. i projekcija za 2027. i 2028. koristi se ekonomska klasifikacija propisana </w:t>
      </w:r>
      <w:r w:rsidRPr="008B52E7">
        <w:rPr>
          <w:rFonts w:ascii="Times New Roman" w:hAnsi="Times New Roman"/>
          <w:b/>
          <w:bCs/>
          <w:sz w:val="24"/>
          <w:szCs w:val="24"/>
          <w:u w:val="single"/>
        </w:rPr>
        <w:t>Pravilnikom o proračunskom računovodstvu i Računskom planu.</w:t>
      </w:r>
      <w:r w:rsidRPr="008B52E7">
        <w:rPr>
          <w:rFonts w:ascii="Times New Roman" w:hAnsi="Times New Roman"/>
          <w:sz w:val="24"/>
          <w:szCs w:val="24"/>
        </w:rPr>
        <w:t xml:space="preserve"> U Uputama za izradu proračuna jedinica lokalne i područne (regionalne) samouprave za razdoblje 2025. - 2027. dan je detaljan prikaz izmjena računskog plana za potrebe procesa izrade proračuna i financijskih planova za razdoblje 2025.- 2027. u odnosu na do tada važeći.</w:t>
      </w:r>
    </w:p>
    <w:p w14:paraId="22A10D4A" w14:textId="77777777" w:rsidR="000C4EBB" w:rsidRDefault="000C4EBB" w:rsidP="000C4EBB">
      <w:pPr>
        <w:pStyle w:val="NoSpacing"/>
        <w:rPr>
          <w:rFonts w:ascii="Times New Roman" w:hAnsi="Times New Roman"/>
          <w:sz w:val="24"/>
          <w:szCs w:val="24"/>
        </w:rPr>
      </w:pPr>
    </w:p>
    <w:p w14:paraId="17879545" w14:textId="77777777" w:rsidR="000C4EBB" w:rsidRDefault="000C4EBB" w:rsidP="000C4EBB">
      <w:pPr>
        <w:pStyle w:val="NoSpacing"/>
        <w:rPr>
          <w:rFonts w:ascii="Times New Roman" w:hAnsi="Times New Roman"/>
          <w:sz w:val="24"/>
          <w:szCs w:val="24"/>
        </w:rPr>
      </w:pPr>
      <w:r w:rsidRPr="00551071">
        <w:rPr>
          <w:rFonts w:ascii="Times New Roman" w:hAnsi="Times New Roman"/>
          <w:b/>
          <w:bCs/>
          <w:sz w:val="24"/>
          <w:szCs w:val="24"/>
          <w:u w:val="single"/>
        </w:rPr>
        <w:t>Pravilnik o korištenju sredstava Europske unije u primjeni je od proračunskog procesa za razdoblje 2025. -2027.</w:t>
      </w:r>
      <w:r w:rsidRPr="00FC73E3">
        <w:rPr>
          <w:rFonts w:ascii="Times New Roman" w:hAnsi="Times New Roman"/>
          <w:sz w:val="24"/>
          <w:szCs w:val="24"/>
        </w:rPr>
        <w:t xml:space="preserve"> a propisuje:</w:t>
      </w:r>
    </w:p>
    <w:p w14:paraId="4776332F" w14:textId="77777777" w:rsidR="000C4EBB" w:rsidRDefault="000C4EBB" w:rsidP="000C4EBB">
      <w:pPr>
        <w:pStyle w:val="NoSpacing"/>
        <w:rPr>
          <w:rFonts w:ascii="Times New Roman" w:hAnsi="Times New Roman"/>
          <w:sz w:val="24"/>
          <w:szCs w:val="24"/>
        </w:rPr>
      </w:pPr>
      <w:r w:rsidRPr="00FC73E3">
        <w:rPr>
          <w:rFonts w:ascii="Times New Roman" w:hAnsi="Times New Roman"/>
          <w:sz w:val="24"/>
          <w:szCs w:val="24"/>
        </w:rPr>
        <w:t xml:space="preserve"> </w:t>
      </w:r>
      <w:r w:rsidRPr="00FC73E3">
        <w:rPr>
          <w:rFonts w:ascii="Times New Roman" w:hAnsi="Times New Roman"/>
          <w:sz w:val="24"/>
          <w:szCs w:val="24"/>
        </w:rPr>
        <w:sym w:font="Symbol" w:char="F0B7"/>
      </w:r>
      <w:r w:rsidRPr="00FC73E3">
        <w:rPr>
          <w:rFonts w:ascii="Times New Roman" w:hAnsi="Times New Roman"/>
          <w:sz w:val="24"/>
          <w:szCs w:val="24"/>
        </w:rPr>
        <w:t xml:space="preserve"> način planiranja i izvršavanja sredstava Europske unije, </w:t>
      </w:r>
    </w:p>
    <w:p w14:paraId="1C9677FB" w14:textId="77777777" w:rsidR="000C4EBB" w:rsidRDefault="000C4EBB" w:rsidP="000C4EBB">
      <w:pPr>
        <w:pStyle w:val="NoSpacing"/>
        <w:rPr>
          <w:rFonts w:ascii="Times New Roman" w:hAnsi="Times New Roman"/>
          <w:sz w:val="24"/>
          <w:szCs w:val="24"/>
        </w:rPr>
      </w:pPr>
      <w:r>
        <w:rPr>
          <w:rFonts w:ascii="Times New Roman" w:hAnsi="Times New Roman"/>
          <w:sz w:val="24"/>
          <w:szCs w:val="24"/>
        </w:rPr>
        <w:t xml:space="preserve"> </w:t>
      </w:r>
      <w:r w:rsidRPr="00FC73E3">
        <w:rPr>
          <w:rFonts w:ascii="Times New Roman" w:hAnsi="Times New Roman"/>
          <w:sz w:val="24"/>
          <w:szCs w:val="24"/>
        </w:rPr>
        <w:sym w:font="Symbol" w:char="F0B7"/>
      </w:r>
      <w:r w:rsidRPr="00FC73E3">
        <w:rPr>
          <w:rFonts w:ascii="Times New Roman" w:hAnsi="Times New Roman"/>
          <w:sz w:val="24"/>
          <w:szCs w:val="24"/>
        </w:rPr>
        <w:t xml:space="preserve"> povrat sredstava te </w:t>
      </w:r>
    </w:p>
    <w:p w14:paraId="53858CDB" w14:textId="77777777" w:rsidR="000C4EBB" w:rsidRDefault="000C4EBB" w:rsidP="000C4EBB">
      <w:pPr>
        <w:pStyle w:val="NoSpacing"/>
        <w:rPr>
          <w:rFonts w:ascii="Times New Roman" w:hAnsi="Times New Roman"/>
          <w:sz w:val="24"/>
          <w:szCs w:val="24"/>
        </w:rPr>
      </w:pPr>
      <w:r>
        <w:rPr>
          <w:rFonts w:ascii="Times New Roman" w:hAnsi="Times New Roman"/>
          <w:sz w:val="24"/>
          <w:szCs w:val="24"/>
        </w:rPr>
        <w:t xml:space="preserve"> </w:t>
      </w:r>
      <w:r w:rsidRPr="00FC73E3">
        <w:rPr>
          <w:rFonts w:ascii="Times New Roman" w:hAnsi="Times New Roman"/>
          <w:sz w:val="24"/>
          <w:szCs w:val="24"/>
        </w:rPr>
        <w:sym w:font="Symbol" w:char="F0B7"/>
      </w:r>
      <w:r w:rsidRPr="00FC73E3">
        <w:rPr>
          <w:rFonts w:ascii="Times New Roman" w:hAnsi="Times New Roman"/>
          <w:sz w:val="24"/>
          <w:szCs w:val="24"/>
        </w:rPr>
        <w:t xml:space="preserve"> evidentiranje i izvještavanje o sredstvima Europske unije u Republici Hrvatskoj.</w:t>
      </w:r>
    </w:p>
    <w:p w14:paraId="4579A1FF" w14:textId="77777777" w:rsidR="000C4EBB" w:rsidRDefault="000C4EBB" w:rsidP="000C4EBB">
      <w:pPr>
        <w:pStyle w:val="NoSpacing"/>
        <w:rPr>
          <w:rFonts w:ascii="Times New Roman" w:hAnsi="Times New Roman"/>
          <w:sz w:val="24"/>
          <w:szCs w:val="24"/>
        </w:rPr>
      </w:pPr>
    </w:p>
    <w:p w14:paraId="664897D0" w14:textId="77777777" w:rsidR="000C4EBB" w:rsidRDefault="000C4EBB" w:rsidP="000C4EBB">
      <w:pPr>
        <w:pStyle w:val="NoSpacing"/>
        <w:rPr>
          <w:rFonts w:ascii="Times New Roman" w:hAnsi="Times New Roman"/>
          <w:sz w:val="24"/>
          <w:szCs w:val="24"/>
        </w:rPr>
      </w:pPr>
      <w:r w:rsidRPr="005E3AFE">
        <w:rPr>
          <w:rFonts w:ascii="Times New Roman" w:hAnsi="Times New Roman"/>
          <w:b/>
          <w:bCs/>
          <w:sz w:val="24"/>
          <w:szCs w:val="24"/>
          <w:u w:val="single"/>
        </w:rPr>
        <w:t>U svibnju 2025. godine Ministarstvo financija izdalo je novu Uputu za računovodstveno evidentiranje sredstava Europske unije</w:t>
      </w:r>
      <w:r w:rsidRPr="005E3AFE">
        <w:rPr>
          <w:rFonts w:ascii="Times New Roman" w:hAnsi="Times New Roman"/>
          <w:sz w:val="24"/>
          <w:szCs w:val="24"/>
        </w:rPr>
        <w:t xml:space="preserve"> (dalje u tekstu Uputa EU). Uputa EU uređuje pravila za računovodstvene evidencije poslovnih promjena vezanih za upravljanje i korištenje EU sredstava koja su na raspolaganju Republici Hrvatskoj kroz programsko razdoblje 2021. – 2027. Uputa je dostupna u aplikaciji Ministarstva financija Financijsko izvještavanje u sustavu proračuna i Registar proračunskih i izvanproračunskih korisnika (RKPFI).</w:t>
      </w:r>
    </w:p>
    <w:p w14:paraId="09F50126" w14:textId="77777777" w:rsidR="000C4EBB" w:rsidRDefault="000C4EBB" w:rsidP="000C4EBB">
      <w:pPr>
        <w:pStyle w:val="NoSpacing"/>
        <w:rPr>
          <w:rFonts w:ascii="Times New Roman" w:hAnsi="Times New Roman"/>
          <w:sz w:val="24"/>
          <w:szCs w:val="24"/>
        </w:rPr>
      </w:pPr>
    </w:p>
    <w:p w14:paraId="1739C894" w14:textId="47C6B967" w:rsidR="000C4EBB" w:rsidRDefault="000C4EBB" w:rsidP="000C4EBB">
      <w:pPr>
        <w:pStyle w:val="NoSpacing"/>
        <w:rPr>
          <w:rFonts w:ascii="Times New Roman" w:hAnsi="Times New Roman"/>
          <w:sz w:val="24"/>
          <w:szCs w:val="24"/>
        </w:rPr>
      </w:pPr>
      <w:r w:rsidRPr="00900D28">
        <w:rPr>
          <w:rFonts w:ascii="Times New Roman" w:hAnsi="Times New Roman"/>
          <w:b/>
          <w:bCs/>
          <w:sz w:val="24"/>
          <w:szCs w:val="24"/>
          <w:u w:val="single"/>
        </w:rPr>
        <w:t>Pravilnik o proračunskim klasifikacijama donesen u siječnju 2025.</w:t>
      </w:r>
      <w:r w:rsidRPr="00900D28">
        <w:rPr>
          <w:rFonts w:ascii="Times New Roman" w:hAnsi="Times New Roman"/>
          <w:sz w:val="24"/>
          <w:szCs w:val="24"/>
        </w:rPr>
        <w:t xml:space="preserve"> u primjeni je od proračunskog ciklusa 2025. – 2027. U skladu s odredbama Pravilnika o proračunskim klasifikacijama iz siječnja 2025. kao i u skladu s prethodnim pravilnicima na razini državnog proračuna i proračuna jedinica lokalne i područne (regionalne) samouprave koristile su se obvezne oznake izvora financiranja isključivo na razini razreda i to na sljedeći način: 1 opći prihodi i primici 2 doprinosi 3 vlastiti prihodi 4 prihodi za posebne namjene 5 pomoći 6 donacije 7 prihodi od </w:t>
      </w:r>
      <w:r w:rsidRPr="00900D28">
        <w:rPr>
          <w:rFonts w:ascii="Times New Roman" w:hAnsi="Times New Roman"/>
          <w:sz w:val="24"/>
          <w:szCs w:val="24"/>
        </w:rPr>
        <w:lastRenderedPageBreak/>
        <w:t>prodaje ili zamjene nefinancijske imovine i naknade s naslova osiguranja 8 namjenski primici</w:t>
      </w:r>
      <w:r w:rsidR="007950C0">
        <w:rPr>
          <w:rFonts w:ascii="Times New Roman" w:hAnsi="Times New Roman"/>
          <w:sz w:val="24"/>
          <w:szCs w:val="24"/>
        </w:rPr>
        <w:t xml:space="preserve">. </w:t>
      </w:r>
      <w:r w:rsidRPr="00900D28">
        <w:rPr>
          <w:rFonts w:ascii="Times New Roman" w:hAnsi="Times New Roman"/>
          <w:sz w:val="24"/>
          <w:szCs w:val="24"/>
        </w:rPr>
        <w:t>Uz obvezne oznake izvora financiranja i na državnoj i na lokalnoj odnosno regionalnoj razini u prethodnom razdoblju postojale su vlastite oznake nižih razina izvora financiranja temeljene na Pravilniku o proračunskim klasifikacijama, a razvijene radi potrebe više ili manje detaljnog praćenja određenih izvora financiranja. Dodatne oznake izvora financiranja za državnu razinu određivalo je Ministarstvo financija, a za regionalnu i lokalnu razinu upravno tijelo jedinice nadležno za financije.</w:t>
      </w:r>
    </w:p>
    <w:p w14:paraId="1ED08AF8" w14:textId="77777777" w:rsidR="000C4EBB" w:rsidRDefault="000C4EBB" w:rsidP="000C4EBB">
      <w:pPr>
        <w:pStyle w:val="NoSpacing"/>
        <w:rPr>
          <w:rFonts w:ascii="Times New Roman" w:hAnsi="Times New Roman"/>
          <w:sz w:val="24"/>
          <w:szCs w:val="24"/>
        </w:rPr>
      </w:pPr>
    </w:p>
    <w:p w14:paraId="416FFE39" w14:textId="77777777" w:rsidR="000C4EBB" w:rsidRDefault="000C4EBB" w:rsidP="000C4EBB">
      <w:pPr>
        <w:pStyle w:val="NoSpacing"/>
        <w:rPr>
          <w:rFonts w:ascii="Times New Roman" w:hAnsi="Times New Roman"/>
          <w:sz w:val="24"/>
          <w:szCs w:val="24"/>
        </w:rPr>
      </w:pPr>
      <w:r w:rsidRPr="00E03547">
        <w:rPr>
          <w:rFonts w:ascii="Times New Roman" w:hAnsi="Times New Roman"/>
          <w:b/>
          <w:bCs/>
          <w:sz w:val="24"/>
          <w:szCs w:val="24"/>
          <w:u w:val="single"/>
        </w:rPr>
        <w:t>Izmjenama i dopunama Pravilnika</w:t>
      </w:r>
      <w:r w:rsidRPr="00390984">
        <w:rPr>
          <w:rFonts w:ascii="Times New Roman" w:hAnsi="Times New Roman"/>
          <w:sz w:val="24"/>
          <w:szCs w:val="24"/>
        </w:rPr>
        <w:t xml:space="preserve"> proširena je obveza primjene jedinstvenih oznaka izvora financiranja na način da uz brojčane oznake i nazive razreda izvora financiranja koje su se do sada primjenjivale, od sada kao obvezne za primjenu postaju i: - brojčane oznake i nazivi skupina izvora financiranja (druga razina) te - određene podskupine izvora financiranja za EU sredstva (treća razina).</w:t>
      </w:r>
    </w:p>
    <w:p w14:paraId="001D70EA" w14:textId="77777777" w:rsidR="00820423" w:rsidRDefault="00820423" w:rsidP="000C4EBB">
      <w:pPr>
        <w:pStyle w:val="NoSpacing"/>
        <w:rPr>
          <w:rFonts w:ascii="Times New Roman" w:hAnsi="Times New Roman"/>
          <w:sz w:val="24"/>
          <w:szCs w:val="24"/>
        </w:rPr>
      </w:pPr>
    </w:p>
    <w:p w14:paraId="77B74FB0" w14:textId="7462CBE0" w:rsidR="00820423" w:rsidRDefault="00820423" w:rsidP="000C4EBB">
      <w:pPr>
        <w:pStyle w:val="NoSpacing"/>
        <w:rPr>
          <w:rFonts w:ascii="Times New Roman" w:hAnsi="Times New Roman"/>
          <w:sz w:val="24"/>
          <w:szCs w:val="24"/>
        </w:rPr>
      </w:pPr>
      <w:r w:rsidRPr="00820423">
        <w:rPr>
          <w:rFonts w:ascii="Times New Roman" w:hAnsi="Times New Roman"/>
          <w:sz w:val="24"/>
          <w:szCs w:val="24"/>
        </w:rPr>
        <w:t xml:space="preserve">U nastavku se daje prikaz </w:t>
      </w:r>
      <w:r w:rsidRPr="00A268CD">
        <w:rPr>
          <w:rFonts w:ascii="Times New Roman" w:hAnsi="Times New Roman"/>
          <w:b/>
          <w:bCs/>
          <w:sz w:val="24"/>
          <w:szCs w:val="24"/>
          <w:u w:val="single"/>
        </w:rPr>
        <w:t>razreda i skupina izvora financiranja koje će se ujednačeno koristiti za sve jedinice lokalne i područne (regionalne) samouprave</w:t>
      </w:r>
      <w:r w:rsidRPr="00820423">
        <w:rPr>
          <w:rFonts w:ascii="Times New Roman" w:hAnsi="Times New Roman"/>
          <w:sz w:val="24"/>
          <w:szCs w:val="24"/>
        </w:rPr>
        <w:t xml:space="preserve"> na sljedeći način:</w:t>
      </w:r>
    </w:p>
    <w:p w14:paraId="1E3C8109" w14:textId="1E06BC97" w:rsidR="00820423" w:rsidRDefault="004266AF" w:rsidP="004266AF">
      <w:pPr>
        <w:pStyle w:val="NoSpacing"/>
        <w:numPr>
          <w:ilvl w:val="0"/>
          <w:numId w:val="30"/>
        </w:numPr>
        <w:rPr>
          <w:rFonts w:ascii="Times New Roman" w:hAnsi="Times New Roman"/>
          <w:sz w:val="24"/>
          <w:szCs w:val="24"/>
        </w:rPr>
      </w:pPr>
      <w:r>
        <w:rPr>
          <w:rFonts w:ascii="Times New Roman" w:hAnsi="Times New Roman"/>
          <w:sz w:val="24"/>
          <w:szCs w:val="24"/>
        </w:rPr>
        <w:t>11 Opći prihodi i primici</w:t>
      </w:r>
    </w:p>
    <w:p w14:paraId="08F206B9" w14:textId="44709632" w:rsidR="004266AF" w:rsidRDefault="004266AF" w:rsidP="004266AF">
      <w:pPr>
        <w:pStyle w:val="NoSpacing"/>
        <w:numPr>
          <w:ilvl w:val="0"/>
          <w:numId w:val="30"/>
        </w:numPr>
        <w:rPr>
          <w:rFonts w:ascii="Times New Roman" w:hAnsi="Times New Roman"/>
          <w:sz w:val="24"/>
          <w:szCs w:val="24"/>
        </w:rPr>
      </w:pPr>
      <w:r>
        <w:rPr>
          <w:rFonts w:ascii="Times New Roman" w:hAnsi="Times New Roman"/>
          <w:sz w:val="24"/>
          <w:szCs w:val="24"/>
        </w:rPr>
        <w:t>31 Vlastiti prihodi</w:t>
      </w:r>
    </w:p>
    <w:p w14:paraId="3E62167B" w14:textId="6CC16B59" w:rsidR="004266AF" w:rsidRDefault="004266AF" w:rsidP="004266AF">
      <w:pPr>
        <w:pStyle w:val="NoSpacing"/>
        <w:numPr>
          <w:ilvl w:val="0"/>
          <w:numId w:val="30"/>
        </w:numPr>
        <w:rPr>
          <w:rFonts w:ascii="Times New Roman" w:hAnsi="Times New Roman"/>
          <w:sz w:val="24"/>
          <w:szCs w:val="24"/>
        </w:rPr>
      </w:pPr>
      <w:r>
        <w:rPr>
          <w:rFonts w:ascii="Times New Roman" w:hAnsi="Times New Roman"/>
          <w:sz w:val="24"/>
          <w:szCs w:val="24"/>
        </w:rPr>
        <w:t>40 Prihodi od komunalne naknade i komunalnog doprinosa,</w:t>
      </w:r>
    </w:p>
    <w:p w14:paraId="5E9DD9C2" w14:textId="1CC717BA" w:rsidR="004266AF" w:rsidRDefault="004266AF" w:rsidP="004266AF">
      <w:pPr>
        <w:pStyle w:val="NoSpacing"/>
        <w:numPr>
          <w:ilvl w:val="0"/>
          <w:numId w:val="30"/>
        </w:numPr>
        <w:rPr>
          <w:rFonts w:ascii="Times New Roman" w:hAnsi="Times New Roman"/>
          <w:sz w:val="24"/>
          <w:szCs w:val="24"/>
        </w:rPr>
      </w:pPr>
      <w:r>
        <w:rPr>
          <w:rFonts w:ascii="Times New Roman" w:hAnsi="Times New Roman"/>
          <w:sz w:val="24"/>
          <w:szCs w:val="24"/>
        </w:rPr>
        <w:t>42 Prihodi od spomeničke rente,</w:t>
      </w:r>
    </w:p>
    <w:p w14:paraId="3CAD8B3D" w14:textId="5F1582FC" w:rsidR="004266AF" w:rsidRDefault="004266AF" w:rsidP="004266AF">
      <w:pPr>
        <w:pStyle w:val="NoSpacing"/>
        <w:numPr>
          <w:ilvl w:val="0"/>
          <w:numId w:val="30"/>
        </w:numPr>
        <w:rPr>
          <w:rFonts w:ascii="Times New Roman" w:hAnsi="Times New Roman"/>
          <w:sz w:val="24"/>
          <w:szCs w:val="24"/>
        </w:rPr>
      </w:pPr>
      <w:r>
        <w:rPr>
          <w:rFonts w:ascii="Times New Roman" w:hAnsi="Times New Roman"/>
          <w:sz w:val="24"/>
          <w:szCs w:val="24"/>
        </w:rPr>
        <w:t>43 Ostali prihodi za posebne namjene,</w:t>
      </w:r>
    </w:p>
    <w:p w14:paraId="06A9C2A4" w14:textId="4AC787C7" w:rsidR="004266AF" w:rsidRDefault="004266AF" w:rsidP="004266AF">
      <w:pPr>
        <w:pStyle w:val="NoSpacing"/>
        <w:numPr>
          <w:ilvl w:val="0"/>
          <w:numId w:val="30"/>
        </w:numPr>
        <w:rPr>
          <w:rFonts w:ascii="Times New Roman" w:hAnsi="Times New Roman"/>
          <w:sz w:val="24"/>
          <w:szCs w:val="24"/>
        </w:rPr>
      </w:pPr>
      <w:r>
        <w:rPr>
          <w:rFonts w:ascii="Times New Roman" w:hAnsi="Times New Roman"/>
          <w:sz w:val="24"/>
          <w:szCs w:val="24"/>
        </w:rPr>
        <w:t>50 Pomoći iz državnog proračuna,</w:t>
      </w:r>
    </w:p>
    <w:p w14:paraId="0B3AFE60" w14:textId="18DF7453" w:rsidR="004266AF" w:rsidRDefault="004266AF" w:rsidP="004266AF">
      <w:pPr>
        <w:pStyle w:val="NoSpacing"/>
        <w:numPr>
          <w:ilvl w:val="0"/>
          <w:numId w:val="30"/>
        </w:numPr>
        <w:rPr>
          <w:rFonts w:ascii="Times New Roman" w:hAnsi="Times New Roman"/>
          <w:sz w:val="24"/>
          <w:szCs w:val="24"/>
        </w:rPr>
      </w:pPr>
      <w:r>
        <w:rPr>
          <w:rFonts w:ascii="Times New Roman" w:hAnsi="Times New Roman"/>
          <w:sz w:val="24"/>
          <w:szCs w:val="24"/>
        </w:rPr>
        <w:t>51 Programi Unije,</w:t>
      </w:r>
    </w:p>
    <w:p w14:paraId="3A04C35E" w14:textId="7F928A4D" w:rsidR="004266AF" w:rsidRDefault="004266AF" w:rsidP="004266AF">
      <w:pPr>
        <w:pStyle w:val="NoSpacing"/>
        <w:numPr>
          <w:ilvl w:val="0"/>
          <w:numId w:val="30"/>
        </w:numPr>
        <w:rPr>
          <w:rFonts w:ascii="Times New Roman" w:hAnsi="Times New Roman"/>
          <w:sz w:val="24"/>
          <w:szCs w:val="24"/>
        </w:rPr>
      </w:pPr>
      <w:r>
        <w:rPr>
          <w:rFonts w:ascii="Times New Roman" w:hAnsi="Times New Roman"/>
          <w:sz w:val="24"/>
          <w:szCs w:val="24"/>
        </w:rPr>
        <w:t>510 Programi Unije,</w:t>
      </w:r>
    </w:p>
    <w:p w14:paraId="67B1E8C9" w14:textId="493D0EF6" w:rsidR="004266AF" w:rsidRDefault="004266AF" w:rsidP="004266AF">
      <w:pPr>
        <w:pStyle w:val="NoSpacing"/>
        <w:numPr>
          <w:ilvl w:val="0"/>
          <w:numId w:val="30"/>
        </w:numPr>
        <w:rPr>
          <w:rFonts w:ascii="Times New Roman" w:hAnsi="Times New Roman"/>
          <w:sz w:val="24"/>
          <w:szCs w:val="24"/>
        </w:rPr>
      </w:pPr>
      <w:r>
        <w:rPr>
          <w:rFonts w:ascii="Times New Roman" w:hAnsi="Times New Roman"/>
          <w:sz w:val="24"/>
          <w:szCs w:val="24"/>
        </w:rPr>
        <w:t>52 Ostale pomoći,</w:t>
      </w:r>
    </w:p>
    <w:p w14:paraId="611338C4" w14:textId="336FE03B" w:rsidR="004266AF" w:rsidRDefault="004266AF" w:rsidP="004266AF">
      <w:pPr>
        <w:pStyle w:val="NoSpacing"/>
        <w:numPr>
          <w:ilvl w:val="0"/>
          <w:numId w:val="30"/>
        </w:numPr>
        <w:rPr>
          <w:rFonts w:ascii="Times New Roman" w:hAnsi="Times New Roman"/>
          <w:sz w:val="24"/>
          <w:szCs w:val="24"/>
        </w:rPr>
      </w:pPr>
      <w:r>
        <w:rPr>
          <w:rFonts w:ascii="Times New Roman" w:hAnsi="Times New Roman"/>
          <w:sz w:val="24"/>
          <w:szCs w:val="24"/>
        </w:rPr>
        <w:t>53 Darovnice,</w:t>
      </w:r>
    </w:p>
    <w:p w14:paraId="4278DE81" w14:textId="5D7371D4" w:rsidR="004266AF" w:rsidRDefault="004266AF" w:rsidP="004266AF">
      <w:pPr>
        <w:pStyle w:val="NoSpacing"/>
        <w:numPr>
          <w:ilvl w:val="0"/>
          <w:numId w:val="30"/>
        </w:numPr>
        <w:rPr>
          <w:rFonts w:ascii="Times New Roman" w:hAnsi="Times New Roman"/>
          <w:sz w:val="24"/>
          <w:szCs w:val="24"/>
        </w:rPr>
      </w:pPr>
      <w:r>
        <w:rPr>
          <w:rFonts w:ascii="Times New Roman" w:hAnsi="Times New Roman"/>
          <w:sz w:val="24"/>
          <w:szCs w:val="24"/>
        </w:rPr>
        <w:t>54 Europski poljoprivredni jamstveni fond (EAGF),</w:t>
      </w:r>
    </w:p>
    <w:p w14:paraId="0700F308" w14:textId="3DB08F27" w:rsidR="004266AF" w:rsidRDefault="004266AF" w:rsidP="004266AF">
      <w:pPr>
        <w:pStyle w:val="NoSpacing"/>
        <w:numPr>
          <w:ilvl w:val="0"/>
          <w:numId w:val="30"/>
        </w:numPr>
        <w:rPr>
          <w:rFonts w:ascii="Times New Roman" w:hAnsi="Times New Roman"/>
          <w:sz w:val="24"/>
          <w:szCs w:val="24"/>
        </w:rPr>
      </w:pPr>
      <w:r>
        <w:rPr>
          <w:rFonts w:ascii="Times New Roman" w:hAnsi="Times New Roman"/>
          <w:sz w:val="24"/>
          <w:szCs w:val="24"/>
        </w:rPr>
        <w:t>56 Fondovi EU,</w:t>
      </w:r>
    </w:p>
    <w:p w14:paraId="326E4447" w14:textId="466775A4" w:rsidR="004266AF" w:rsidRDefault="004266AF" w:rsidP="004266AF">
      <w:pPr>
        <w:pStyle w:val="NoSpacing"/>
        <w:numPr>
          <w:ilvl w:val="0"/>
          <w:numId w:val="30"/>
        </w:numPr>
        <w:rPr>
          <w:rFonts w:ascii="Times New Roman" w:hAnsi="Times New Roman"/>
          <w:sz w:val="24"/>
          <w:szCs w:val="24"/>
        </w:rPr>
      </w:pPr>
      <w:r>
        <w:rPr>
          <w:rFonts w:ascii="Times New Roman" w:hAnsi="Times New Roman"/>
          <w:sz w:val="24"/>
          <w:szCs w:val="24"/>
        </w:rPr>
        <w:t>561 Europski socijalni fond plus,</w:t>
      </w:r>
    </w:p>
    <w:p w14:paraId="77E722E7" w14:textId="38B2DFC4" w:rsidR="004266AF" w:rsidRDefault="004266AF" w:rsidP="004266AF">
      <w:pPr>
        <w:pStyle w:val="NoSpacing"/>
        <w:numPr>
          <w:ilvl w:val="0"/>
          <w:numId w:val="30"/>
        </w:numPr>
        <w:rPr>
          <w:rFonts w:ascii="Times New Roman" w:hAnsi="Times New Roman"/>
          <w:sz w:val="24"/>
          <w:szCs w:val="24"/>
        </w:rPr>
      </w:pPr>
      <w:r>
        <w:rPr>
          <w:rFonts w:ascii="Times New Roman" w:hAnsi="Times New Roman"/>
          <w:sz w:val="24"/>
          <w:szCs w:val="24"/>
        </w:rPr>
        <w:t>562 Kohezijski fond,</w:t>
      </w:r>
    </w:p>
    <w:p w14:paraId="325F5EA0" w14:textId="41C1C61B" w:rsidR="004266AF" w:rsidRDefault="004266AF" w:rsidP="004266AF">
      <w:pPr>
        <w:pStyle w:val="NoSpacing"/>
        <w:numPr>
          <w:ilvl w:val="0"/>
          <w:numId w:val="30"/>
        </w:numPr>
        <w:rPr>
          <w:rFonts w:ascii="Times New Roman" w:hAnsi="Times New Roman"/>
          <w:sz w:val="24"/>
          <w:szCs w:val="24"/>
        </w:rPr>
      </w:pPr>
      <w:r>
        <w:rPr>
          <w:rFonts w:ascii="Times New Roman" w:hAnsi="Times New Roman"/>
          <w:sz w:val="24"/>
          <w:szCs w:val="24"/>
        </w:rPr>
        <w:t>563 Europski fond za regionalni razvoj,</w:t>
      </w:r>
    </w:p>
    <w:p w14:paraId="5E2BC6DF" w14:textId="6CF546D3" w:rsidR="004266AF" w:rsidRDefault="004266AF" w:rsidP="004266AF">
      <w:pPr>
        <w:pStyle w:val="NoSpacing"/>
        <w:numPr>
          <w:ilvl w:val="0"/>
          <w:numId w:val="30"/>
        </w:numPr>
        <w:rPr>
          <w:rFonts w:ascii="Times New Roman" w:hAnsi="Times New Roman"/>
          <w:sz w:val="24"/>
          <w:szCs w:val="24"/>
        </w:rPr>
      </w:pPr>
      <w:r>
        <w:rPr>
          <w:rFonts w:ascii="Times New Roman" w:hAnsi="Times New Roman"/>
          <w:sz w:val="24"/>
          <w:szCs w:val="24"/>
        </w:rPr>
        <w:t>564 Fond za pomorstvo, ribarstvo i akvakulturu,</w:t>
      </w:r>
    </w:p>
    <w:p w14:paraId="746C8710" w14:textId="30937771" w:rsidR="004266AF" w:rsidRDefault="004266AF" w:rsidP="004266AF">
      <w:pPr>
        <w:pStyle w:val="NoSpacing"/>
        <w:numPr>
          <w:ilvl w:val="0"/>
          <w:numId w:val="30"/>
        </w:numPr>
        <w:rPr>
          <w:rFonts w:ascii="Times New Roman" w:hAnsi="Times New Roman"/>
          <w:sz w:val="24"/>
          <w:szCs w:val="24"/>
        </w:rPr>
      </w:pPr>
      <w:r>
        <w:rPr>
          <w:rFonts w:ascii="Times New Roman" w:hAnsi="Times New Roman"/>
          <w:sz w:val="24"/>
          <w:szCs w:val="24"/>
        </w:rPr>
        <w:t>565 Europski poljoprivredni fond za ruralni razvoj,</w:t>
      </w:r>
    </w:p>
    <w:p w14:paraId="28B68B88" w14:textId="76A2DCA8" w:rsidR="004266AF" w:rsidRDefault="004266AF" w:rsidP="004266AF">
      <w:pPr>
        <w:pStyle w:val="NoSpacing"/>
        <w:numPr>
          <w:ilvl w:val="0"/>
          <w:numId w:val="30"/>
        </w:numPr>
        <w:rPr>
          <w:rFonts w:ascii="Times New Roman" w:hAnsi="Times New Roman"/>
          <w:sz w:val="24"/>
          <w:szCs w:val="24"/>
        </w:rPr>
      </w:pPr>
      <w:r>
        <w:rPr>
          <w:rFonts w:ascii="Times New Roman" w:hAnsi="Times New Roman"/>
          <w:sz w:val="24"/>
          <w:szCs w:val="24"/>
        </w:rPr>
        <w:t>566 Modernizacijski fond,</w:t>
      </w:r>
    </w:p>
    <w:p w14:paraId="25B109CB" w14:textId="505150F8" w:rsidR="004266AF" w:rsidRDefault="004266AF" w:rsidP="004266AF">
      <w:pPr>
        <w:pStyle w:val="NoSpacing"/>
        <w:numPr>
          <w:ilvl w:val="0"/>
          <w:numId w:val="30"/>
        </w:numPr>
        <w:rPr>
          <w:rFonts w:ascii="Times New Roman" w:hAnsi="Times New Roman"/>
          <w:sz w:val="24"/>
          <w:szCs w:val="24"/>
        </w:rPr>
      </w:pPr>
      <w:r>
        <w:rPr>
          <w:rFonts w:ascii="Times New Roman" w:hAnsi="Times New Roman"/>
          <w:sz w:val="24"/>
          <w:szCs w:val="24"/>
        </w:rPr>
        <w:t>567 Socijalni fond za klimatsku politiku,</w:t>
      </w:r>
    </w:p>
    <w:p w14:paraId="32AF72BC" w14:textId="30F1E781" w:rsidR="004266AF" w:rsidRDefault="004266AF" w:rsidP="004266AF">
      <w:pPr>
        <w:pStyle w:val="NoSpacing"/>
        <w:numPr>
          <w:ilvl w:val="0"/>
          <w:numId w:val="30"/>
        </w:numPr>
        <w:rPr>
          <w:rFonts w:ascii="Times New Roman" w:hAnsi="Times New Roman"/>
          <w:sz w:val="24"/>
          <w:szCs w:val="24"/>
        </w:rPr>
      </w:pPr>
      <w:r>
        <w:rPr>
          <w:rFonts w:ascii="Times New Roman" w:hAnsi="Times New Roman"/>
          <w:sz w:val="24"/>
          <w:szCs w:val="24"/>
        </w:rPr>
        <w:t>57 Ostali programi EU,</w:t>
      </w:r>
    </w:p>
    <w:p w14:paraId="19207758" w14:textId="4843E479" w:rsidR="004266AF" w:rsidRDefault="004266AF" w:rsidP="004266AF">
      <w:pPr>
        <w:pStyle w:val="NoSpacing"/>
        <w:numPr>
          <w:ilvl w:val="0"/>
          <w:numId w:val="30"/>
        </w:numPr>
        <w:rPr>
          <w:rFonts w:ascii="Times New Roman" w:hAnsi="Times New Roman"/>
          <w:sz w:val="24"/>
          <w:szCs w:val="24"/>
        </w:rPr>
      </w:pPr>
      <w:r>
        <w:rPr>
          <w:rFonts w:ascii="Times New Roman" w:hAnsi="Times New Roman"/>
          <w:sz w:val="24"/>
          <w:szCs w:val="24"/>
        </w:rPr>
        <w:t>575 Fond za azil, migracije i integraciju,</w:t>
      </w:r>
    </w:p>
    <w:p w14:paraId="09EE58A7" w14:textId="1D090C64" w:rsidR="004266AF" w:rsidRDefault="00A37782" w:rsidP="004266AF">
      <w:pPr>
        <w:pStyle w:val="NoSpacing"/>
        <w:numPr>
          <w:ilvl w:val="0"/>
          <w:numId w:val="30"/>
        </w:numPr>
        <w:rPr>
          <w:rFonts w:ascii="Times New Roman" w:hAnsi="Times New Roman"/>
          <w:sz w:val="24"/>
          <w:szCs w:val="24"/>
        </w:rPr>
      </w:pPr>
      <w:r>
        <w:rPr>
          <w:rFonts w:ascii="Times New Roman" w:hAnsi="Times New Roman"/>
          <w:sz w:val="24"/>
          <w:szCs w:val="24"/>
        </w:rPr>
        <w:t>577 Fond za pravednu tranziciju,</w:t>
      </w:r>
    </w:p>
    <w:p w14:paraId="7F286194" w14:textId="7196D1D6" w:rsidR="00A37782" w:rsidRDefault="00A37782" w:rsidP="00A37782">
      <w:pPr>
        <w:pStyle w:val="NoSpacing"/>
        <w:numPr>
          <w:ilvl w:val="0"/>
          <w:numId w:val="30"/>
        </w:numPr>
        <w:rPr>
          <w:rFonts w:ascii="Times New Roman" w:hAnsi="Times New Roman"/>
          <w:sz w:val="24"/>
          <w:szCs w:val="24"/>
        </w:rPr>
      </w:pPr>
      <w:r>
        <w:rPr>
          <w:rFonts w:ascii="Times New Roman" w:hAnsi="Times New Roman"/>
          <w:sz w:val="24"/>
          <w:szCs w:val="24"/>
        </w:rPr>
        <w:t>578 Fond za unutarnju sigurnost,</w:t>
      </w:r>
    </w:p>
    <w:p w14:paraId="206EAB71" w14:textId="33963419" w:rsidR="00A37782" w:rsidRDefault="00A37782" w:rsidP="00A37782">
      <w:pPr>
        <w:pStyle w:val="NoSpacing"/>
        <w:numPr>
          <w:ilvl w:val="0"/>
          <w:numId w:val="30"/>
        </w:numPr>
        <w:rPr>
          <w:rFonts w:ascii="Times New Roman" w:hAnsi="Times New Roman"/>
          <w:sz w:val="24"/>
          <w:szCs w:val="24"/>
        </w:rPr>
      </w:pPr>
      <w:r>
        <w:rPr>
          <w:rFonts w:ascii="Times New Roman" w:hAnsi="Times New Roman"/>
          <w:sz w:val="24"/>
          <w:szCs w:val="24"/>
        </w:rPr>
        <w:t>579 Fond za integrirano upravljanje granicama,</w:t>
      </w:r>
    </w:p>
    <w:p w14:paraId="1881B6C1" w14:textId="37DB05F1" w:rsidR="00A37782" w:rsidRDefault="00A37782" w:rsidP="00A37782">
      <w:pPr>
        <w:pStyle w:val="NoSpacing"/>
        <w:numPr>
          <w:ilvl w:val="0"/>
          <w:numId w:val="30"/>
        </w:numPr>
        <w:rPr>
          <w:rFonts w:ascii="Times New Roman" w:hAnsi="Times New Roman"/>
          <w:sz w:val="24"/>
          <w:szCs w:val="24"/>
        </w:rPr>
      </w:pPr>
      <w:r>
        <w:rPr>
          <w:rFonts w:ascii="Times New Roman" w:hAnsi="Times New Roman"/>
          <w:sz w:val="24"/>
          <w:szCs w:val="24"/>
        </w:rPr>
        <w:t>58 Instrumenti EU nove generacije,</w:t>
      </w:r>
    </w:p>
    <w:p w14:paraId="0A93465B" w14:textId="7145EC79" w:rsidR="00A37782" w:rsidRDefault="00A37782" w:rsidP="00A37782">
      <w:pPr>
        <w:pStyle w:val="NoSpacing"/>
        <w:numPr>
          <w:ilvl w:val="0"/>
          <w:numId w:val="30"/>
        </w:numPr>
        <w:rPr>
          <w:rFonts w:ascii="Times New Roman" w:hAnsi="Times New Roman"/>
          <w:sz w:val="24"/>
          <w:szCs w:val="24"/>
        </w:rPr>
      </w:pPr>
      <w:r>
        <w:rPr>
          <w:rFonts w:ascii="Times New Roman" w:hAnsi="Times New Roman"/>
          <w:sz w:val="24"/>
          <w:szCs w:val="24"/>
        </w:rPr>
        <w:t>581 Mehanizam za oporavak i otpornost – bespovratna sredstva</w:t>
      </w:r>
      <w:r w:rsidR="001452E2">
        <w:rPr>
          <w:rFonts w:ascii="Times New Roman" w:hAnsi="Times New Roman"/>
          <w:sz w:val="24"/>
          <w:szCs w:val="24"/>
        </w:rPr>
        <w:t>,</w:t>
      </w:r>
    </w:p>
    <w:p w14:paraId="34B0BDC0" w14:textId="626C0059" w:rsidR="001452E2" w:rsidRDefault="001452E2" w:rsidP="00A37782">
      <w:pPr>
        <w:pStyle w:val="NoSpacing"/>
        <w:numPr>
          <w:ilvl w:val="0"/>
          <w:numId w:val="30"/>
        </w:numPr>
        <w:rPr>
          <w:rFonts w:ascii="Times New Roman" w:hAnsi="Times New Roman"/>
          <w:sz w:val="24"/>
          <w:szCs w:val="24"/>
        </w:rPr>
      </w:pPr>
      <w:r>
        <w:rPr>
          <w:rFonts w:ascii="Times New Roman" w:hAnsi="Times New Roman"/>
          <w:sz w:val="24"/>
          <w:szCs w:val="24"/>
        </w:rPr>
        <w:t>61 Donacije,</w:t>
      </w:r>
    </w:p>
    <w:p w14:paraId="1A878FB5" w14:textId="66EA664E" w:rsidR="001452E2" w:rsidRDefault="001452E2" w:rsidP="00A37782">
      <w:pPr>
        <w:pStyle w:val="NoSpacing"/>
        <w:numPr>
          <w:ilvl w:val="0"/>
          <w:numId w:val="30"/>
        </w:numPr>
        <w:rPr>
          <w:rFonts w:ascii="Times New Roman" w:hAnsi="Times New Roman"/>
          <w:sz w:val="24"/>
          <w:szCs w:val="24"/>
        </w:rPr>
      </w:pPr>
      <w:r>
        <w:rPr>
          <w:rFonts w:ascii="Times New Roman" w:hAnsi="Times New Roman"/>
          <w:sz w:val="24"/>
          <w:szCs w:val="24"/>
        </w:rPr>
        <w:t>71 Prihodi od prodaje ili zamjene nefinancijske imovine i naknade s naslova osiguranja,</w:t>
      </w:r>
    </w:p>
    <w:p w14:paraId="0D9DDED7" w14:textId="6EEA62D1" w:rsidR="001452E2" w:rsidRDefault="001452E2" w:rsidP="00A37782">
      <w:pPr>
        <w:pStyle w:val="NoSpacing"/>
        <w:numPr>
          <w:ilvl w:val="0"/>
          <w:numId w:val="30"/>
        </w:numPr>
        <w:rPr>
          <w:rFonts w:ascii="Times New Roman" w:hAnsi="Times New Roman"/>
          <w:sz w:val="24"/>
          <w:szCs w:val="24"/>
        </w:rPr>
      </w:pPr>
      <w:r>
        <w:rPr>
          <w:rFonts w:ascii="Times New Roman" w:hAnsi="Times New Roman"/>
          <w:sz w:val="24"/>
          <w:szCs w:val="24"/>
        </w:rPr>
        <w:t>81 Namjenski primici od zaduživanja,</w:t>
      </w:r>
    </w:p>
    <w:p w14:paraId="59B0D796" w14:textId="15A331E4" w:rsidR="001452E2" w:rsidRDefault="001452E2" w:rsidP="001452E2">
      <w:pPr>
        <w:pStyle w:val="NoSpacing"/>
        <w:numPr>
          <w:ilvl w:val="0"/>
          <w:numId w:val="30"/>
        </w:numPr>
        <w:rPr>
          <w:rFonts w:ascii="Times New Roman" w:hAnsi="Times New Roman"/>
          <w:sz w:val="24"/>
          <w:szCs w:val="24"/>
        </w:rPr>
      </w:pPr>
      <w:r>
        <w:rPr>
          <w:rFonts w:ascii="Times New Roman" w:hAnsi="Times New Roman"/>
          <w:sz w:val="24"/>
          <w:szCs w:val="24"/>
        </w:rPr>
        <w:t xml:space="preserve">810 Namjenski primici od zaduživanja </w:t>
      </w:r>
      <w:r w:rsidR="00AA6004">
        <w:rPr>
          <w:rFonts w:ascii="Times New Roman" w:hAnsi="Times New Roman"/>
          <w:sz w:val="24"/>
          <w:szCs w:val="24"/>
        </w:rPr>
        <w:t>–</w:t>
      </w:r>
      <w:r>
        <w:rPr>
          <w:rFonts w:ascii="Times New Roman" w:hAnsi="Times New Roman"/>
          <w:sz w:val="24"/>
          <w:szCs w:val="24"/>
        </w:rPr>
        <w:t xml:space="preserve"> ostali</w:t>
      </w:r>
      <w:r w:rsidR="00AA6004">
        <w:rPr>
          <w:rFonts w:ascii="Times New Roman" w:hAnsi="Times New Roman"/>
          <w:sz w:val="24"/>
          <w:szCs w:val="24"/>
        </w:rPr>
        <w:t>.</w:t>
      </w:r>
    </w:p>
    <w:p w14:paraId="7602F0C8" w14:textId="77777777" w:rsidR="00AA6004" w:rsidRDefault="00AA6004" w:rsidP="00AA6004">
      <w:pPr>
        <w:pStyle w:val="NoSpacing"/>
        <w:ind w:left="360"/>
        <w:rPr>
          <w:rFonts w:ascii="Times New Roman" w:hAnsi="Times New Roman"/>
          <w:sz w:val="24"/>
          <w:szCs w:val="24"/>
        </w:rPr>
      </w:pPr>
    </w:p>
    <w:p w14:paraId="3EA24B76" w14:textId="3F0CF75E" w:rsidR="00AA6004" w:rsidRDefault="00AA6004" w:rsidP="00AA6004">
      <w:pPr>
        <w:pStyle w:val="NoSpacing"/>
        <w:ind w:left="360"/>
        <w:rPr>
          <w:rFonts w:ascii="Times New Roman" w:hAnsi="Times New Roman"/>
          <w:sz w:val="24"/>
          <w:szCs w:val="24"/>
        </w:rPr>
      </w:pPr>
      <w:r w:rsidRPr="00AA6004">
        <w:rPr>
          <w:rFonts w:ascii="Times New Roman" w:hAnsi="Times New Roman"/>
          <w:sz w:val="24"/>
          <w:szCs w:val="24"/>
        </w:rPr>
        <w:t>Uz prethodno propisane obvezne razrede, skupine i podskupine Pravilnikom su predviđene i dodatne analitičke oznake izvora financiranja vezane uz EU tijekove te dodatne analitičke oznake izvora financiranja za pomoći koje se doznačavaju iz državnog proračuna.</w:t>
      </w:r>
    </w:p>
    <w:p w14:paraId="01F72233" w14:textId="77777777" w:rsidR="00AA6004" w:rsidRDefault="00AA6004" w:rsidP="00AA6004">
      <w:pPr>
        <w:pStyle w:val="NoSpacing"/>
        <w:ind w:left="360"/>
        <w:rPr>
          <w:rFonts w:ascii="Times New Roman" w:hAnsi="Times New Roman"/>
          <w:sz w:val="24"/>
          <w:szCs w:val="24"/>
        </w:rPr>
      </w:pPr>
      <w:r w:rsidRPr="00AA6004">
        <w:rPr>
          <w:rFonts w:ascii="Times New Roman" w:hAnsi="Times New Roman"/>
          <w:sz w:val="24"/>
          <w:szCs w:val="24"/>
        </w:rPr>
        <w:lastRenderedPageBreak/>
        <w:t xml:space="preserve">Pravilnikom je primjena </w:t>
      </w:r>
      <w:r w:rsidRPr="00AA6004">
        <w:rPr>
          <w:rFonts w:ascii="Times New Roman" w:hAnsi="Times New Roman"/>
          <w:b/>
          <w:bCs/>
          <w:sz w:val="24"/>
          <w:szCs w:val="24"/>
          <w:u w:val="single"/>
        </w:rPr>
        <w:t>obvezna u planiranju i izvršavanju proračuna i financijskog plana od proračunskog ciklusa za razdoblje 2026. – 2028.</w:t>
      </w:r>
      <w:r w:rsidRPr="00AA6004">
        <w:rPr>
          <w:rFonts w:ascii="Times New Roman" w:hAnsi="Times New Roman"/>
          <w:sz w:val="24"/>
          <w:szCs w:val="24"/>
        </w:rPr>
        <w:t xml:space="preserve"> za izvore financiranja unutar razreda 5 Pomoći i 8 Namjenski primici na sljedeći način: </w:t>
      </w:r>
    </w:p>
    <w:p w14:paraId="54487AAA" w14:textId="77777777" w:rsidR="00AA6004" w:rsidRDefault="00AA6004" w:rsidP="00AA6004">
      <w:pPr>
        <w:pStyle w:val="NoSpacing"/>
        <w:ind w:left="360"/>
        <w:rPr>
          <w:rFonts w:ascii="Times New Roman" w:hAnsi="Times New Roman"/>
          <w:sz w:val="24"/>
          <w:szCs w:val="24"/>
        </w:rPr>
      </w:pPr>
      <w:r w:rsidRPr="00AA6004">
        <w:rPr>
          <w:rFonts w:ascii="Times New Roman" w:hAnsi="Times New Roman"/>
          <w:sz w:val="24"/>
          <w:szCs w:val="24"/>
        </w:rPr>
        <w:sym w:font="Symbol" w:char="F0B7"/>
      </w:r>
      <w:r w:rsidRPr="00AA6004">
        <w:rPr>
          <w:rFonts w:ascii="Times New Roman" w:hAnsi="Times New Roman"/>
          <w:sz w:val="24"/>
          <w:szCs w:val="24"/>
        </w:rPr>
        <w:t xml:space="preserve"> 51 Programi Unije, 510 Programi Unije, </w:t>
      </w:r>
    </w:p>
    <w:p w14:paraId="60079801" w14:textId="77777777" w:rsidR="00AA6004" w:rsidRDefault="00AA6004" w:rsidP="00AA6004">
      <w:pPr>
        <w:pStyle w:val="NoSpacing"/>
        <w:ind w:left="360"/>
        <w:rPr>
          <w:rFonts w:ascii="Times New Roman" w:hAnsi="Times New Roman"/>
          <w:sz w:val="24"/>
          <w:szCs w:val="24"/>
        </w:rPr>
      </w:pPr>
      <w:r w:rsidRPr="00AA6004">
        <w:rPr>
          <w:rFonts w:ascii="Times New Roman" w:hAnsi="Times New Roman"/>
          <w:sz w:val="24"/>
          <w:szCs w:val="24"/>
        </w:rPr>
        <w:sym w:font="Symbol" w:char="F0B7"/>
      </w:r>
      <w:r w:rsidRPr="00AA6004">
        <w:rPr>
          <w:rFonts w:ascii="Times New Roman" w:hAnsi="Times New Roman"/>
          <w:sz w:val="24"/>
          <w:szCs w:val="24"/>
        </w:rPr>
        <w:t xml:space="preserve"> 56 Fondovi EU, 561 Europski socijalni fond plus, 562 Kohezijski fond, 563 Europski fond za regionalni razvoj, 564 Fond za pomorstvo, ribarstvo i akvakulturu, 565 Europski poljoprivredni fond za ruralni razvoj, 566 Modernizacijski fond, 567 Socijalni fond za klimatsku politiku, </w:t>
      </w:r>
    </w:p>
    <w:p w14:paraId="46972D94" w14:textId="77777777" w:rsidR="00AA6004" w:rsidRDefault="00AA6004" w:rsidP="00AA6004">
      <w:pPr>
        <w:pStyle w:val="NoSpacing"/>
        <w:ind w:left="360"/>
        <w:rPr>
          <w:rFonts w:ascii="Times New Roman" w:hAnsi="Times New Roman"/>
          <w:sz w:val="24"/>
          <w:szCs w:val="24"/>
        </w:rPr>
      </w:pPr>
      <w:r w:rsidRPr="00AA6004">
        <w:rPr>
          <w:rFonts w:ascii="Times New Roman" w:hAnsi="Times New Roman"/>
          <w:sz w:val="24"/>
          <w:szCs w:val="24"/>
        </w:rPr>
        <w:sym w:font="Symbol" w:char="F0B7"/>
      </w:r>
      <w:r w:rsidRPr="00AA6004">
        <w:rPr>
          <w:rFonts w:ascii="Times New Roman" w:hAnsi="Times New Roman"/>
          <w:sz w:val="24"/>
          <w:szCs w:val="24"/>
        </w:rPr>
        <w:t xml:space="preserve"> 57 Ostali programi EU, 575 Fond za azil, migracije i integraciju, 577 Fond za pravednu tranziciju, 578 Fond za unutarnju sigurnost, 579 Fond za integrirano upravljanje granicama, </w:t>
      </w:r>
    </w:p>
    <w:p w14:paraId="46E6DF91" w14:textId="77777777" w:rsidR="00AA6004" w:rsidRDefault="00AA6004" w:rsidP="00AA6004">
      <w:pPr>
        <w:pStyle w:val="NoSpacing"/>
        <w:ind w:left="360"/>
        <w:rPr>
          <w:rFonts w:ascii="Times New Roman" w:hAnsi="Times New Roman"/>
          <w:sz w:val="24"/>
          <w:szCs w:val="24"/>
        </w:rPr>
      </w:pPr>
      <w:r w:rsidRPr="00AA6004">
        <w:rPr>
          <w:rFonts w:ascii="Times New Roman" w:hAnsi="Times New Roman"/>
          <w:sz w:val="24"/>
          <w:szCs w:val="24"/>
        </w:rPr>
        <w:sym w:font="Symbol" w:char="F0B7"/>
      </w:r>
      <w:r w:rsidRPr="00AA6004">
        <w:rPr>
          <w:rFonts w:ascii="Times New Roman" w:hAnsi="Times New Roman"/>
          <w:sz w:val="24"/>
          <w:szCs w:val="24"/>
        </w:rPr>
        <w:t xml:space="preserve"> 58 Instrumenti EU nove generacije, 581 Mehanizam za oporavak i otpornost – bespovratna sredstva, </w:t>
      </w:r>
    </w:p>
    <w:p w14:paraId="15B34A19" w14:textId="77777777" w:rsidR="00AA6004" w:rsidRDefault="00AA6004" w:rsidP="00AA6004">
      <w:pPr>
        <w:pStyle w:val="NoSpacing"/>
        <w:ind w:left="360"/>
        <w:rPr>
          <w:rFonts w:ascii="Times New Roman" w:hAnsi="Times New Roman"/>
          <w:sz w:val="24"/>
          <w:szCs w:val="24"/>
        </w:rPr>
      </w:pPr>
      <w:r w:rsidRPr="00AA6004">
        <w:rPr>
          <w:rFonts w:ascii="Times New Roman" w:hAnsi="Times New Roman"/>
          <w:sz w:val="24"/>
          <w:szCs w:val="24"/>
        </w:rPr>
        <w:sym w:font="Symbol" w:char="F0B7"/>
      </w:r>
      <w:r w:rsidRPr="00AA6004">
        <w:rPr>
          <w:rFonts w:ascii="Times New Roman" w:hAnsi="Times New Roman"/>
          <w:sz w:val="24"/>
          <w:szCs w:val="24"/>
        </w:rPr>
        <w:t xml:space="preserve"> 5012 Pomoći iz državnog proračuna kroz nacionalno sufinanciranje EU projekata, 50815 Pomoći kroz namjenske primitke od zaduživanja – NPOO i </w:t>
      </w:r>
    </w:p>
    <w:p w14:paraId="4194C7D0" w14:textId="77777777" w:rsidR="00AA6004" w:rsidRDefault="00AA6004" w:rsidP="00AA6004">
      <w:pPr>
        <w:pStyle w:val="NoSpacing"/>
        <w:ind w:left="360"/>
        <w:rPr>
          <w:rFonts w:ascii="Times New Roman" w:hAnsi="Times New Roman"/>
          <w:sz w:val="24"/>
          <w:szCs w:val="24"/>
        </w:rPr>
      </w:pPr>
      <w:r w:rsidRPr="00AA6004">
        <w:rPr>
          <w:rFonts w:ascii="Times New Roman" w:hAnsi="Times New Roman"/>
          <w:sz w:val="24"/>
          <w:szCs w:val="24"/>
        </w:rPr>
        <w:sym w:font="Symbol" w:char="F0B7"/>
      </w:r>
      <w:r w:rsidRPr="00AA6004">
        <w:rPr>
          <w:rFonts w:ascii="Times New Roman" w:hAnsi="Times New Roman"/>
          <w:sz w:val="24"/>
          <w:szCs w:val="24"/>
        </w:rPr>
        <w:t xml:space="preserve"> 810 Namjenski primici od zaduživanja – ostali zajedno sa dodatnim analitičkim oznakama izvora financiranja kako slijedi: </w:t>
      </w:r>
    </w:p>
    <w:p w14:paraId="7D664F84" w14:textId="59057635" w:rsidR="00AA6004" w:rsidRDefault="00AA6004" w:rsidP="00AA6004">
      <w:pPr>
        <w:pStyle w:val="NoSpacing"/>
        <w:ind w:left="360"/>
        <w:rPr>
          <w:rFonts w:ascii="Times New Roman" w:hAnsi="Times New Roman"/>
          <w:sz w:val="24"/>
          <w:szCs w:val="24"/>
        </w:rPr>
      </w:pPr>
      <w:r w:rsidRPr="00AA6004">
        <w:rPr>
          <w:rFonts w:ascii="Times New Roman" w:hAnsi="Times New Roman"/>
          <w:sz w:val="24"/>
          <w:szCs w:val="24"/>
        </w:rPr>
        <w:t xml:space="preserve">− 00 raspoloživ predujam ili unaprijed naplaćen prihod </w:t>
      </w:r>
    </w:p>
    <w:p w14:paraId="52119FE4" w14:textId="77777777" w:rsidR="00AA6004" w:rsidRDefault="00AA6004" w:rsidP="00AA6004">
      <w:pPr>
        <w:pStyle w:val="NoSpacing"/>
        <w:ind w:left="360"/>
        <w:rPr>
          <w:rFonts w:ascii="Times New Roman" w:hAnsi="Times New Roman"/>
          <w:sz w:val="24"/>
          <w:szCs w:val="24"/>
        </w:rPr>
      </w:pPr>
      <w:r w:rsidRPr="00AA6004">
        <w:rPr>
          <w:rFonts w:ascii="Times New Roman" w:hAnsi="Times New Roman"/>
          <w:sz w:val="24"/>
          <w:szCs w:val="24"/>
        </w:rPr>
        <w:t xml:space="preserve">− 11 </w:t>
      </w:r>
      <w:proofErr w:type="spellStart"/>
      <w:r w:rsidRPr="00AA6004">
        <w:rPr>
          <w:rFonts w:ascii="Times New Roman" w:hAnsi="Times New Roman"/>
          <w:sz w:val="24"/>
          <w:szCs w:val="24"/>
        </w:rPr>
        <w:t>predfinanciranje</w:t>
      </w:r>
      <w:proofErr w:type="spellEnd"/>
      <w:r w:rsidRPr="00AA6004">
        <w:rPr>
          <w:rFonts w:ascii="Times New Roman" w:hAnsi="Times New Roman"/>
          <w:sz w:val="24"/>
          <w:szCs w:val="24"/>
        </w:rPr>
        <w:t xml:space="preserve"> iz općih prihoda i primitaka</w:t>
      </w:r>
    </w:p>
    <w:p w14:paraId="3A4147DD" w14:textId="77777777" w:rsidR="00AA6004" w:rsidRDefault="00AA6004" w:rsidP="00AA6004">
      <w:pPr>
        <w:pStyle w:val="NoSpacing"/>
        <w:ind w:left="360"/>
        <w:rPr>
          <w:rFonts w:ascii="Times New Roman" w:hAnsi="Times New Roman"/>
          <w:sz w:val="24"/>
          <w:szCs w:val="24"/>
        </w:rPr>
      </w:pPr>
      <w:r w:rsidRPr="00AA6004">
        <w:rPr>
          <w:rFonts w:ascii="Times New Roman" w:hAnsi="Times New Roman"/>
          <w:sz w:val="24"/>
          <w:szCs w:val="24"/>
        </w:rPr>
        <w:t xml:space="preserve">− 31 </w:t>
      </w:r>
      <w:proofErr w:type="spellStart"/>
      <w:r w:rsidRPr="00AA6004">
        <w:rPr>
          <w:rFonts w:ascii="Times New Roman" w:hAnsi="Times New Roman"/>
          <w:sz w:val="24"/>
          <w:szCs w:val="24"/>
        </w:rPr>
        <w:t>predfinanciranje</w:t>
      </w:r>
      <w:proofErr w:type="spellEnd"/>
      <w:r w:rsidRPr="00AA6004">
        <w:rPr>
          <w:rFonts w:ascii="Times New Roman" w:hAnsi="Times New Roman"/>
          <w:sz w:val="24"/>
          <w:szCs w:val="24"/>
        </w:rPr>
        <w:t xml:space="preserve"> iz vlastitih prihoda </w:t>
      </w:r>
    </w:p>
    <w:p w14:paraId="515565C7" w14:textId="542E600E" w:rsidR="00AA6004" w:rsidRDefault="00AA6004" w:rsidP="00AA6004">
      <w:pPr>
        <w:pStyle w:val="NoSpacing"/>
        <w:ind w:left="360"/>
        <w:rPr>
          <w:rFonts w:ascii="Times New Roman" w:hAnsi="Times New Roman"/>
          <w:sz w:val="24"/>
          <w:szCs w:val="24"/>
        </w:rPr>
      </w:pPr>
      <w:r w:rsidRPr="00AA6004">
        <w:rPr>
          <w:rFonts w:ascii="Times New Roman" w:hAnsi="Times New Roman"/>
          <w:sz w:val="24"/>
          <w:szCs w:val="24"/>
        </w:rPr>
        <w:t>−</w:t>
      </w:r>
      <w:r>
        <w:rPr>
          <w:rFonts w:ascii="Times New Roman" w:hAnsi="Times New Roman"/>
          <w:sz w:val="24"/>
          <w:szCs w:val="24"/>
        </w:rPr>
        <w:t xml:space="preserve"> </w:t>
      </w:r>
      <w:r w:rsidRPr="00AA6004">
        <w:rPr>
          <w:rFonts w:ascii="Times New Roman" w:hAnsi="Times New Roman"/>
          <w:sz w:val="24"/>
          <w:szCs w:val="24"/>
        </w:rPr>
        <w:t xml:space="preserve">43 </w:t>
      </w:r>
      <w:proofErr w:type="spellStart"/>
      <w:r w:rsidRPr="00AA6004">
        <w:rPr>
          <w:rFonts w:ascii="Times New Roman" w:hAnsi="Times New Roman"/>
          <w:sz w:val="24"/>
          <w:szCs w:val="24"/>
        </w:rPr>
        <w:t>predfinanciranje</w:t>
      </w:r>
      <w:proofErr w:type="spellEnd"/>
      <w:r w:rsidRPr="00AA6004">
        <w:rPr>
          <w:rFonts w:ascii="Times New Roman" w:hAnsi="Times New Roman"/>
          <w:sz w:val="24"/>
          <w:szCs w:val="24"/>
        </w:rPr>
        <w:t xml:space="preserve"> iz ostalih prihoda za posebne namjene </w:t>
      </w:r>
    </w:p>
    <w:p w14:paraId="3ACAFAD0" w14:textId="03E870FB" w:rsidR="00AA6004" w:rsidRDefault="00AA6004" w:rsidP="00AA6004">
      <w:pPr>
        <w:pStyle w:val="NoSpacing"/>
        <w:ind w:left="360"/>
        <w:rPr>
          <w:rFonts w:ascii="Times New Roman" w:hAnsi="Times New Roman"/>
          <w:sz w:val="24"/>
          <w:szCs w:val="24"/>
        </w:rPr>
      </w:pPr>
      <w:r w:rsidRPr="00AA6004">
        <w:rPr>
          <w:rFonts w:ascii="Times New Roman" w:hAnsi="Times New Roman"/>
          <w:sz w:val="24"/>
          <w:szCs w:val="24"/>
        </w:rPr>
        <w:t xml:space="preserve">− 81 </w:t>
      </w:r>
      <w:proofErr w:type="spellStart"/>
      <w:r w:rsidRPr="00AA6004">
        <w:rPr>
          <w:rFonts w:ascii="Times New Roman" w:hAnsi="Times New Roman"/>
          <w:sz w:val="24"/>
          <w:szCs w:val="24"/>
        </w:rPr>
        <w:t>predfinanciranje</w:t>
      </w:r>
      <w:proofErr w:type="spellEnd"/>
      <w:r w:rsidRPr="00AA6004">
        <w:rPr>
          <w:rFonts w:ascii="Times New Roman" w:hAnsi="Times New Roman"/>
          <w:sz w:val="24"/>
          <w:szCs w:val="24"/>
        </w:rPr>
        <w:t xml:space="preserve"> iz namjenskih primitaka od zaduživanja</w:t>
      </w:r>
      <w:r>
        <w:rPr>
          <w:rFonts w:ascii="Times New Roman" w:hAnsi="Times New Roman"/>
          <w:sz w:val="24"/>
          <w:szCs w:val="24"/>
        </w:rPr>
        <w:t>.</w:t>
      </w:r>
    </w:p>
    <w:p w14:paraId="74DEE622" w14:textId="77777777" w:rsidR="008850E8" w:rsidRPr="008850E8" w:rsidRDefault="008850E8" w:rsidP="004C381B">
      <w:pPr>
        <w:rPr>
          <w:rFonts w:ascii="CIDFont+F3" w:hAnsi="CIDFont+F3" w:hint="eastAsia"/>
          <w:color w:val="000000"/>
        </w:rPr>
      </w:pPr>
    </w:p>
    <w:p w14:paraId="262FA18A" w14:textId="77777777" w:rsidR="00CA304C" w:rsidRDefault="00CA304C" w:rsidP="004C381B">
      <w:pPr>
        <w:rPr>
          <w:rFonts w:cs="Arial"/>
          <w:b/>
          <w:bCs/>
          <w:color w:val="000000"/>
        </w:rPr>
      </w:pPr>
    </w:p>
    <w:p w14:paraId="0C54E701" w14:textId="77777777" w:rsidR="00A52639" w:rsidRDefault="00AA3213" w:rsidP="00190CC4">
      <w:pPr>
        <w:ind w:hanging="360"/>
        <w:jc w:val="center"/>
        <w:rPr>
          <w:b/>
          <w:bCs/>
        </w:rPr>
      </w:pPr>
      <w:r>
        <w:rPr>
          <w:rFonts w:cs="Arial"/>
          <w:b/>
          <w:bCs/>
          <w:color w:val="000000"/>
        </w:rPr>
        <w:t>4</w:t>
      </w:r>
      <w:r w:rsidR="00A52639">
        <w:rPr>
          <w:rFonts w:cs="Arial"/>
          <w:b/>
          <w:bCs/>
          <w:color w:val="000000"/>
        </w:rPr>
        <w:t xml:space="preserve">. </w:t>
      </w:r>
      <w:r w:rsidR="00A83C60">
        <w:rPr>
          <w:b/>
          <w:bCs/>
        </w:rPr>
        <w:t xml:space="preserve">METODOLOGIJA IZRADE </w:t>
      </w:r>
      <w:r w:rsidR="00A52639">
        <w:rPr>
          <w:b/>
          <w:bCs/>
        </w:rPr>
        <w:t xml:space="preserve"> </w:t>
      </w:r>
      <w:r w:rsidR="00A46BE3">
        <w:rPr>
          <w:b/>
          <w:bCs/>
        </w:rPr>
        <w:t xml:space="preserve">PRIJEDLOGA </w:t>
      </w:r>
      <w:r w:rsidR="00A52639">
        <w:rPr>
          <w:b/>
          <w:bCs/>
        </w:rPr>
        <w:t xml:space="preserve">PRORAČUNA </w:t>
      </w:r>
      <w:r w:rsidR="00A46BE3">
        <w:rPr>
          <w:b/>
          <w:bCs/>
        </w:rPr>
        <w:t xml:space="preserve">I </w:t>
      </w:r>
      <w:r w:rsidR="00A46BE3" w:rsidRPr="00CC066E">
        <w:rPr>
          <w:rFonts w:cs="Arial"/>
          <w:b/>
          <w:color w:val="000000"/>
        </w:rPr>
        <w:t xml:space="preserve">PRIJEDLOGA FINANCIJSKOG PLANA PRORAČUNSKOG KORISNIKA </w:t>
      </w:r>
      <w:r w:rsidR="00A46BE3">
        <w:rPr>
          <w:rFonts w:cs="Arial"/>
          <w:b/>
          <w:color w:val="000000"/>
        </w:rPr>
        <w:t>OPĆINE STARIGRAD</w:t>
      </w:r>
    </w:p>
    <w:p w14:paraId="302EC9DC" w14:textId="77777777" w:rsidR="00190CC4" w:rsidRDefault="00190CC4" w:rsidP="00190CC4">
      <w:pPr>
        <w:ind w:hanging="360"/>
        <w:jc w:val="center"/>
        <w:rPr>
          <w:b/>
          <w:bCs/>
        </w:rPr>
      </w:pPr>
    </w:p>
    <w:p w14:paraId="0E02D51E" w14:textId="77777777" w:rsidR="00190CC4" w:rsidRDefault="00190CC4" w:rsidP="00190CC4">
      <w:pPr>
        <w:ind w:hanging="360"/>
        <w:jc w:val="center"/>
        <w:rPr>
          <w:rFonts w:cs="Arial"/>
          <w:color w:val="000000"/>
        </w:rPr>
      </w:pPr>
    </w:p>
    <w:p w14:paraId="1DB68B5C" w14:textId="70BB268C" w:rsidR="004C381B" w:rsidRPr="004C381B" w:rsidRDefault="004C381B" w:rsidP="004C381B">
      <w:pPr>
        <w:pStyle w:val="NoSpacing"/>
        <w:rPr>
          <w:rFonts w:ascii="Times New Roman" w:hAnsi="Times New Roman"/>
          <w:sz w:val="24"/>
          <w:szCs w:val="24"/>
        </w:rPr>
      </w:pPr>
      <w:r w:rsidRPr="004C381B">
        <w:rPr>
          <w:rFonts w:ascii="Times New Roman" w:hAnsi="Times New Roman"/>
          <w:sz w:val="24"/>
          <w:szCs w:val="24"/>
        </w:rPr>
        <w:t>Metodologija za izradu proračuna jedinica lokalne i područne (regionalne) samouprave propisana je Zakonom o proračunu i podzakonskim aktima kojima se regulira provedba navedenoga Zakona.</w:t>
      </w:r>
    </w:p>
    <w:p w14:paraId="7F0D0962" w14:textId="77777777" w:rsidR="004C381B" w:rsidRPr="004C381B" w:rsidRDefault="004C381B" w:rsidP="004C381B">
      <w:pPr>
        <w:pStyle w:val="NoSpacing"/>
        <w:rPr>
          <w:rFonts w:ascii="Times New Roman" w:hAnsi="Times New Roman"/>
          <w:sz w:val="24"/>
          <w:szCs w:val="24"/>
        </w:rPr>
      </w:pPr>
    </w:p>
    <w:p w14:paraId="322DE0F3" w14:textId="56C2AED6" w:rsidR="004C381B" w:rsidRPr="004C381B" w:rsidRDefault="004C381B" w:rsidP="004C381B">
      <w:pPr>
        <w:pStyle w:val="NoSpacing"/>
        <w:rPr>
          <w:rFonts w:ascii="Times New Roman" w:hAnsi="Times New Roman"/>
          <w:sz w:val="24"/>
          <w:szCs w:val="24"/>
        </w:rPr>
      </w:pPr>
      <w:r w:rsidRPr="004C381B">
        <w:rPr>
          <w:rFonts w:ascii="Times New Roman" w:hAnsi="Times New Roman"/>
          <w:sz w:val="24"/>
          <w:szCs w:val="24"/>
        </w:rPr>
        <w:t xml:space="preserve">Proračunski korisnici </w:t>
      </w:r>
      <w:r>
        <w:rPr>
          <w:rFonts w:ascii="Times New Roman" w:hAnsi="Times New Roman"/>
          <w:sz w:val="24"/>
          <w:szCs w:val="24"/>
        </w:rPr>
        <w:t xml:space="preserve">Općine Starigrad </w:t>
      </w:r>
      <w:r w:rsidRPr="004C381B">
        <w:rPr>
          <w:rFonts w:ascii="Times New Roman" w:hAnsi="Times New Roman"/>
          <w:sz w:val="24"/>
          <w:szCs w:val="24"/>
        </w:rPr>
        <w:t>obvezni su izrađivati financijsk</w:t>
      </w:r>
      <w:r w:rsidR="00AA3213">
        <w:rPr>
          <w:rFonts w:ascii="Times New Roman" w:hAnsi="Times New Roman"/>
          <w:sz w:val="24"/>
          <w:szCs w:val="24"/>
        </w:rPr>
        <w:t xml:space="preserve">e planove u skladu s odredbama </w:t>
      </w:r>
      <w:r w:rsidRPr="004C381B">
        <w:rPr>
          <w:rFonts w:ascii="Times New Roman" w:hAnsi="Times New Roman"/>
          <w:sz w:val="24"/>
          <w:szCs w:val="24"/>
        </w:rPr>
        <w:t>Zakona o proračunu te se pridržavati ovih Uputa</w:t>
      </w:r>
      <w:r>
        <w:rPr>
          <w:rFonts w:ascii="Times New Roman" w:hAnsi="Times New Roman"/>
          <w:sz w:val="24"/>
          <w:szCs w:val="24"/>
        </w:rPr>
        <w:t xml:space="preserve"> i Uputa za izradu proračuna </w:t>
      </w:r>
      <w:r w:rsidR="00AA5CFA">
        <w:rPr>
          <w:rFonts w:ascii="Times New Roman" w:hAnsi="Times New Roman"/>
          <w:sz w:val="24"/>
          <w:szCs w:val="24"/>
        </w:rPr>
        <w:t xml:space="preserve">JLP(R)S-a </w:t>
      </w:r>
      <w:r>
        <w:rPr>
          <w:rFonts w:ascii="Times New Roman" w:hAnsi="Times New Roman"/>
          <w:sz w:val="24"/>
          <w:szCs w:val="24"/>
        </w:rPr>
        <w:t>Ministarstva financija</w:t>
      </w:r>
      <w:r w:rsidRPr="004C381B">
        <w:rPr>
          <w:rFonts w:ascii="Times New Roman" w:hAnsi="Times New Roman"/>
          <w:sz w:val="24"/>
          <w:szCs w:val="24"/>
        </w:rPr>
        <w:t>.</w:t>
      </w:r>
    </w:p>
    <w:p w14:paraId="251B96EE" w14:textId="77777777" w:rsidR="004C381B" w:rsidRPr="004C381B" w:rsidRDefault="004C381B" w:rsidP="004C381B">
      <w:pPr>
        <w:pStyle w:val="NoSpacing"/>
        <w:rPr>
          <w:rFonts w:ascii="Times New Roman" w:hAnsi="Times New Roman"/>
          <w:sz w:val="24"/>
          <w:szCs w:val="24"/>
        </w:rPr>
      </w:pPr>
    </w:p>
    <w:p w14:paraId="2E79FB55" w14:textId="77777777" w:rsidR="004C381B" w:rsidRPr="004C381B" w:rsidRDefault="004C381B" w:rsidP="004C381B">
      <w:pPr>
        <w:pStyle w:val="NoSpacing"/>
        <w:rPr>
          <w:rFonts w:ascii="Times New Roman" w:hAnsi="Times New Roman"/>
          <w:sz w:val="24"/>
          <w:szCs w:val="24"/>
        </w:rPr>
      </w:pPr>
      <w:r w:rsidRPr="004C381B">
        <w:rPr>
          <w:rFonts w:ascii="Times New Roman" w:hAnsi="Times New Roman"/>
          <w:sz w:val="24"/>
          <w:szCs w:val="24"/>
        </w:rPr>
        <w:t>Proračun jedinice lokalne i područne (regionalne) samouprave sastoji se od plana za proračunsku godinu i projekcija za sljedeće dvije godine, a sadrži financijske planove proračunskih korisnika prikazane kroz opći i posebni dio i obrazloženje proračuna. Pod financijskim planovima proračunskih korisnika jedinice lokalne i područne (regionalne) samouprave podrazumijevaju se i financijski planovi upravnih tijela jedinice lokalne i područne (regionalne) samouprave.</w:t>
      </w:r>
    </w:p>
    <w:p w14:paraId="18ABC1AD" w14:textId="77777777" w:rsidR="00B500BB" w:rsidRDefault="00B500BB">
      <w:pPr>
        <w:rPr>
          <w:rFonts w:cs="Arial"/>
          <w:color w:val="000000"/>
        </w:rPr>
      </w:pPr>
    </w:p>
    <w:p w14:paraId="48CF6A3B" w14:textId="77777777" w:rsidR="00105173" w:rsidRDefault="00105173">
      <w:pPr>
        <w:rPr>
          <w:rFonts w:cs="Arial"/>
          <w:color w:val="000000"/>
        </w:rPr>
      </w:pPr>
    </w:p>
    <w:p w14:paraId="1031BC81" w14:textId="77777777" w:rsidR="0026082D" w:rsidRDefault="00AA3213">
      <w:pPr>
        <w:rPr>
          <w:rFonts w:ascii="Calibri-Bold" w:hAnsi="Calibri-Bold" w:hint="eastAsia"/>
          <w:b/>
          <w:bCs/>
          <w:color w:val="000000"/>
        </w:rPr>
      </w:pPr>
      <w:r>
        <w:rPr>
          <w:rFonts w:cs="Arial"/>
          <w:b/>
          <w:color w:val="000000"/>
        </w:rPr>
        <w:t>4</w:t>
      </w:r>
      <w:r w:rsidR="00AA5CFA">
        <w:rPr>
          <w:rFonts w:cs="Arial"/>
          <w:b/>
          <w:color w:val="000000"/>
        </w:rPr>
        <w:t xml:space="preserve">.1. </w:t>
      </w:r>
      <w:r w:rsidR="00AA5CFA" w:rsidRPr="00AA5CFA">
        <w:rPr>
          <w:rFonts w:ascii="Calibri-Bold" w:hAnsi="Calibri-Bold"/>
          <w:b/>
          <w:bCs/>
          <w:color w:val="000000"/>
        </w:rPr>
        <w:t xml:space="preserve">Sadržaj proračuna </w:t>
      </w:r>
      <w:r w:rsidR="00AA5CFA">
        <w:rPr>
          <w:rFonts w:ascii="Calibri-Bold" w:hAnsi="Calibri-Bold"/>
          <w:b/>
          <w:bCs/>
          <w:color w:val="000000"/>
        </w:rPr>
        <w:t>Općine Starigrad</w:t>
      </w:r>
    </w:p>
    <w:p w14:paraId="5F194C3F" w14:textId="77777777" w:rsidR="00AA5CFA" w:rsidRDefault="00AA5CFA">
      <w:pPr>
        <w:rPr>
          <w:rFonts w:ascii="Calibri-Bold" w:hAnsi="Calibri-Bold" w:hint="eastAsia"/>
          <w:b/>
          <w:bCs/>
          <w:color w:val="000000"/>
        </w:rPr>
      </w:pPr>
    </w:p>
    <w:p w14:paraId="688EED3E" w14:textId="77777777" w:rsidR="00AA5CFA" w:rsidRPr="008C29E9" w:rsidRDefault="00F45D16">
      <w:pPr>
        <w:rPr>
          <w:rFonts w:ascii="Calibri-Bold" w:hAnsi="Calibri-Bold" w:hint="eastAsia"/>
          <w:bCs/>
          <w:color w:val="000000"/>
        </w:rPr>
      </w:pPr>
      <w:r w:rsidRPr="00F45D16">
        <w:rPr>
          <w:rFonts w:ascii="Calibri-Bold" w:hAnsi="Calibri-Bold"/>
          <w:bCs/>
          <w:color w:val="000000"/>
        </w:rPr>
        <w:t>Proračun jedinica lokalne i područne (regionalne) sa</w:t>
      </w:r>
      <w:r>
        <w:rPr>
          <w:rFonts w:ascii="Calibri-Bold" w:hAnsi="Calibri-Bold"/>
          <w:bCs/>
          <w:color w:val="000000"/>
        </w:rPr>
        <w:t xml:space="preserve">mouprave sastoji se od plana za </w:t>
      </w:r>
      <w:r w:rsidRPr="00F45D16">
        <w:rPr>
          <w:rFonts w:ascii="Calibri-Bold" w:hAnsi="Calibri-Bold"/>
          <w:bCs/>
          <w:color w:val="000000"/>
        </w:rPr>
        <w:t>proračunsku godinu i projekcija za sljedeće dvije godine.</w:t>
      </w:r>
      <w:r w:rsidR="006C75B9">
        <w:rPr>
          <w:rFonts w:ascii="Calibri-Bold" w:hAnsi="Calibri-Bold"/>
          <w:bCs/>
          <w:color w:val="000000"/>
        </w:rPr>
        <w:t xml:space="preserve"> Detaljan </w:t>
      </w:r>
      <w:r w:rsidR="008E7524">
        <w:rPr>
          <w:rFonts w:ascii="Calibri-Bold" w:hAnsi="Calibri-Bold"/>
          <w:bCs/>
          <w:color w:val="000000"/>
        </w:rPr>
        <w:t>prikaz sadržaja</w:t>
      </w:r>
      <w:r w:rsidR="006C75B9">
        <w:rPr>
          <w:rFonts w:ascii="Calibri-Bold" w:hAnsi="Calibri-Bold"/>
          <w:bCs/>
          <w:color w:val="000000"/>
        </w:rPr>
        <w:t xml:space="preserve"> proračuna je sljedeći:</w:t>
      </w:r>
    </w:p>
    <w:p w14:paraId="4E3053FE" w14:textId="77777777" w:rsidR="00AA5CFA" w:rsidRDefault="00AA5CFA">
      <w:pPr>
        <w:rPr>
          <w:rFonts w:ascii="Calibri-Bold" w:hAnsi="Calibri-Bold" w:hint="eastAsia"/>
          <w:b/>
          <w:bCs/>
          <w:color w:val="000000"/>
        </w:rPr>
      </w:pPr>
    </w:p>
    <w:tbl>
      <w:tblPr>
        <w:tblStyle w:val="TableGrid"/>
        <w:tblW w:w="0" w:type="auto"/>
        <w:tblLook w:val="04A0" w:firstRow="1" w:lastRow="0" w:firstColumn="1" w:lastColumn="0" w:noHBand="0" w:noVBand="1"/>
      </w:tblPr>
      <w:tblGrid>
        <w:gridCol w:w="2067"/>
        <w:gridCol w:w="3456"/>
        <w:gridCol w:w="4105"/>
      </w:tblGrid>
      <w:tr w:rsidR="00F45D16" w:rsidRPr="00F45D16" w14:paraId="4244E40F" w14:textId="77777777" w:rsidTr="006C75B9">
        <w:tc>
          <w:tcPr>
            <w:tcW w:w="2093" w:type="dxa"/>
            <w:shd w:val="clear" w:color="auto" w:fill="D9D9D9" w:themeFill="background1" w:themeFillShade="D9"/>
          </w:tcPr>
          <w:p w14:paraId="2F130367" w14:textId="77777777" w:rsidR="00F45D16" w:rsidRPr="00F45D16" w:rsidRDefault="00F45D16">
            <w:pPr>
              <w:rPr>
                <w:rFonts w:ascii="Calibri-Bold" w:hAnsi="Calibri-Bold" w:hint="eastAsia"/>
                <w:b/>
                <w:bCs/>
                <w:color w:val="000000"/>
              </w:rPr>
            </w:pPr>
            <w:r w:rsidRPr="00F45D16">
              <w:rPr>
                <w:rFonts w:ascii="Calibri-Bold" w:hAnsi="Calibri-Bold"/>
                <w:b/>
                <w:bCs/>
                <w:color w:val="000000"/>
              </w:rPr>
              <w:t>SADRŽAJ</w:t>
            </w:r>
          </w:p>
        </w:tc>
        <w:tc>
          <w:tcPr>
            <w:tcW w:w="3544" w:type="dxa"/>
            <w:shd w:val="clear" w:color="auto" w:fill="D9D9D9" w:themeFill="background1" w:themeFillShade="D9"/>
          </w:tcPr>
          <w:p w14:paraId="07764EE1" w14:textId="77777777" w:rsidR="00F45D16" w:rsidRPr="00F45D16" w:rsidRDefault="00F45D16">
            <w:pPr>
              <w:rPr>
                <w:rFonts w:ascii="Calibri-Bold" w:hAnsi="Calibri-Bold" w:hint="eastAsia"/>
                <w:b/>
                <w:bCs/>
                <w:color w:val="000000"/>
              </w:rPr>
            </w:pPr>
            <w:r w:rsidRPr="00F45D16">
              <w:rPr>
                <w:rFonts w:ascii="Calibri-Bold" w:hAnsi="Calibri-Bold"/>
                <w:b/>
                <w:bCs/>
                <w:color w:val="000000"/>
              </w:rPr>
              <w:t>SASTAVNI DIO</w:t>
            </w:r>
          </w:p>
        </w:tc>
        <w:tc>
          <w:tcPr>
            <w:tcW w:w="4217" w:type="dxa"/>
            <w:shd w:val="clear" w:color="auto" w:fill="D9D9D9" w:themeFill="background1" w:themeFillShade="D9"/>
          </w:tcPr>
          <w:p w14:paraId="60BCB3A6" w14:textId="77777777" w:rsidR="00F45D16" w:rsidRPr="00F45D16" w:rsidRDefault="00F45D16">
            <w:pPr>
              <w:rPr>
                <w:rFonts w:ascii="Calibri-Bold" w:hAnsi="Calibri-Bold" w:hint="eastAsia"/>
                <w:b/>
                <w:bCs/>
                <w:color w:val="000000"/>
              </w:rPr>
            </w:pPr>
            <w:r w:rsidRPr="00F45D16">
              <w:rPr>
                <w:rFonts w:ascii="Calibri-Bold" w:hAnsi="Calibri-Bold"/>
                <w:b/>
                <w:bCs/>
                <w:color w:val="000000"/>
              </w:rPr>
              <w:t>OPIS SASTAVNOG DIJELA</w:t>
            </w:r>
          </w:p>
        </w:tc>
      </w:tr>
      <w:tr w:rsidR="00F45D16" w14:paraId="3A090F86" w14:textId="77777777" w:rsidTr="006C75B9">
        <w:trPr>
          <w:trHeight w:val="165"/>
        </w:trPr>
        <w:tc>
          <w:tcPr>
            <w:tcW w:w="2093" w:type="dxa"/>
            <w:vMerge w:val="restart"/>
            <w:vAlign w:val="center"/>
          </w:tcPr>
          <w:p w14:paraId="67EDFDD8" w14:textId="77777777" w:rsidR="00F45D16" w:rsidRPr="00F45D16" w:rsidRDefault="00F45D16" w:rsidP="006C75B9">
            <w:pPr>
              <w:jc w:val="left"/>
              <w:rPr>
                <w:rFonts w:ascii="Calibri-Bold" w:hAnsi="Calibri-Bold" w:hint="eastAsia"/>
                <w:bCs/>
                <w:color w:val="000000"/>
              </w:rPr>
            </w:pPr>
          </w:p>
          <w:p w14:paraId="303044FA" w14:textId="77777777" w:rsidR="00F45D16" w:rsidRPr="00F45D16" w:rsidRDefault="00F45D16" w:rsidP="006C75B9">
            <w:pPr>
              <w:jc w:val="left"/>
              <w:rPr>
                <w:rFonts w:ascii="Calibri-Bold" w:hAnsi="Calibri-Bold" w:hint="eastAsia"/>
                <w:bCs/>
                <w:color w:val="000000"/>
              </w:rPr>
            </w:pPr>
            <w:r w:rsidRPr="00F45D16">
              <w:rPr>
                <w:rFonts w:ascii="Calibri-Bold" w:hAnsi="Calibri-Bold"/>
                <w:bCs/>
                <w:color w:val="000000"/>
              </w:rPr>
              <w:t>Opći dio proračuna</w:t>
            </w:r>
          </w:p>
          <w:p w14:paraId="46D2E7D0" w14:textId="77777777" w:rsidR="00F45D16" w:rsidRPr="00F45D16" w:rsidRDefault="00F45D16" w:rsidP="006C75B9">
            <w:pPr>
              <w:jc w:val="left"/>
              <w:rPr>
                <w:rFonts w:ascii="Calibri-Bold" w:hAnsi="Calibri-Bold" w:hint="eastAsia"/>
                <w:bCs/>
                <w:color w:val="000000"/>
              </w:rPr>
            </w:pPr>
          </w:p>
          <w:p w14:paraId="2413EADC" w14:textId="77777777" w:rsidR="00F45D16" w:rsidRPr="00F45D16" w:rsidRDefault="00F45D16" w:rsidP="006C75B9">
            <w:pPr>
              <w:jc w:val="left"/>
              <w:rPr>
                <w:rFonts w:ascii="Calibri-Bold" w:hAnsi="Calibri-Bold" w:hint="eastAsia"/>
                <w:bCs/>
                <w:color w:val="000000"/>
              </w:rPr>
            </w:pPr>
          </w:p>
          <w:p w14:paraId="2B25BAA9" w14:textId="77777777" w:rsidR="00F45D16" w:rsidRPr="00F45D16" w:rsidRDefault="00F45D16" w:rsidP="006C75B9">
            <w:pPr>
              <w:jc w:val="left"/>
              <w:rPr>
                <w:rFonts w:ascii="Calibri-Bold" w:hAnsi="Calibri-Bold" w:hint="eastAsia"/>
                <w:bCs/>
                <w:color w:val="000000"/>
              </w:rPr>
            </w:pPr>
          </w:p>
        </w:tc>
        <w:tc>
          <w:tcPr>
            <w:tcW w:w="3544" w:type="dxa"/>
          </w:tcPr>
          <w:p w14:paraId="6176BCD6" w14:textId="77777777" w:rsidR="006C75B9" w:rsidRDefault="006C75B9" w:rsidP="00F45D16">
            <w:pPr>
              <w:rPr>
                <w:rStyle w:val="fontstyle01"/>
                <w:rFonts w:hint="eastAsia"/>
              </w:rPr>
            </w:pPr>
          </w:p>
          <w:p w14:paraId="2337369C" w14:textId="77777777" w:rsidR="006C75B9" w:rsidRDefault="006C75B9" w:rsidP="00F45D16">
            <w:pPr>
              <w:rPr>
                <w:rStyle w:val="fontstyle01"/>
                <w:rFonts w:hint="eastAsia"/>
              </w:rPr>
            </w:pPr>
          </w:p>
          <w:p w14:paraId="1836C27C" w14:textId="77777777" w:rsidR="006C75B9" w:rsidRDefault="006C75B9" w:rsidP="00F45D16">
            <w:pPr>
              <w:rPr>
                <w:rStyle w:val="fontstyle01"/>
                <w:rFonts w:hint="eastAsia"/>
              </w:rPr>
            </w:pPr>
          </w:p>
          <w:p w14:paraId="07CFD14A" w14:textId="77777777" w:rsidR="00F45D16" w:rsidRPr="00F45D16" w:rsidRDefault="00F45D16" w:rsidP="00F45D16">
            <w:pPr>
              <w:rPr>
                <w:rStyle w:val="fontstyle01"/>
                <w:rFonts w:hint="eastAsia"/>
              </w:rPr>
            </w:pPr>
            <w:r w:rsidRPr="00F45D16">
              <w:rPr>
                <w:rStyle w:val="fontstyle01"/>
              </w:rPr>
              <w:t>Sažetak Računa prihoda i rashoda</w:t>
            </w:r>
          </w:p>
          <w:p w14:paraId="4A9CA6E0" w14:textId="77777777" w:rsidR="00F45D16" w:rsidRPr="00F45D16" w:rsidRDefault="00F45D16" w:rsidP="00F45D16">
            <w:r w:rsidRPr="00F45D16">
              <w:rPr>
                <w:rStyle w:val="fontstyle01"/>
              </w:rPr>
              <w:t>Sažetak Računa financiranja</w:t>
            </w:r>
          </w:p>
          <w:p w14:paraId="76BAB28B" w14:textId="77777777" w:rsidR="00F45D16" w:rsidRPr="00F45D16" w:rsidRDefault="00F45D16">
            <w:pPr>
              <w:rPr>
                <w:rFonts w:ascii="Calibri-Bold" w:hAnsi="Calibri-Bold" w:hint="eastAsia"/>
                <w:bCs/>
                <w:color w:val="000000"/>
              </w:rPr>
            </w:pPr>
          </w:p>
        </w:tc>
        <w:tc>
          <w:tcPr>
            <w:tcW w:w="4217" w:type="dxa"/>
            <w:vAlign w:val="center"/>
          </w:tcPr>
          <w:p w14:paraId="73607029" w14:textId="77777777" w:rsidR="00F45D16" w:rsidRDefault="006C75B9" w:rsidP="006C75B9">
            <w:pPr>
              <w:jc w:val="left"/>
              <w:rPr>
                <w:rStyle w:val="fontstyle01"/>
                <w:rFonts w:hint="eastAsia"/>
              </w:rPr>
            </w:pPr>
            <w:r>
              <w:rPr>
                <w:rStyle w:val="fontstyle01"/>
              </w:rPr>
              <w:t xml:space="preserve">- </w:t>
            </w:r>
            <w:r w:rsidR="00F45D16">
              <w:rPr>
                <w:rStyle w:val="fontstyle01"/>
              </w:rPr>
              <w:t>uk</w:t>
            </w:r>
            <w:r>
              <w:rPr>
                <w:rStyle w:val="fontstyle01"/>
              </w:rPr>
              <w:t>upni</w:t>
            </w:r>
            <w:r w:rsidR="00F45D16">
              <w:rPr>
                <w:rStyle w:val="fontstyle01"/>
              </w:rPr>
              <w:t xml:space="preserve"> prihodi poslovanja i prihodi od prodaje nefinancijske imovine,</w:t>
            </w:r>
            <w:r w:rsidR="00F45D16">
              <w:rPr>
                <w:rFonts w:ascii="Calibri" w:hAnsi="Calibri" w:cs="Calibri"/>
                <w:color w:val="000000"/>
                <w:sz w:val="22"/>
                <w:szCs w:val="22"/>
              </w:rPr>
              <w:br/>
            </w:r>
            <w:r w:rsidR="00F45D16">
              <w:rPr>
                <w:rStyle w:val="fontstyle01"/>
              </w:rPr>
              <w:t>uk</w:t>
            </w:r>
            <w:r>
              <w:rPr>
                <w:rStyle w:val="fontstyle01"/>
              </w:rPr>
              <w:t xml:space="preserve">upni  </w:t>
            </w:r>
            <w:r w:rsidR="00F45D16">
              <w:rPr>
                <w:rStyle w:val="fontstyle01"/>
              </w:rPr>
              <w:t>rashodi poslovanja i rashodi za nabavu nefinancijske imovine</w:t>
            </w:r>
          </w:p>
          <w:p w14:paraId="55BBC3DD" w14:textId="77777777" w:rsidR="006C75B9" w:rsidRDefault="006C75B9" w:rsidP="006C75B9">
            <w:pPr>
              <w:jc w:val="left"/>
            </w:pPr>
            <w:r>
              <w:t xml:space="preserve">- </w:t>
            </w:r>
            <w:r>
              <w:rPr>
                <w:rStyle w:val="fontstyle01"/>
              </w:rPr>
              <w:t>ukupni primici od financijske imovine i zaduživanja i izdaci za financijsku</w:t>
            </w:r>
            <w:r>
              <w:rPr>
                <w:rFonts w:ascii="Calibri" w:hAnsi="Calibri" w:cs="Calibri"/>
                <w:color w:val="000000"/>
                <w:sz w:val="22"/>
                <w:szCs w:val="22"/>
              </w:rPr>
              <w:br/>
            </w:r>
            <w:r>
              <w:rPr>
                <w:rStyle w:val="fontstyle01"/>
              </w:rPr>
              <w:lastRenderedPageBreak/>
              <w:t>imovinu i otplate zajmova</w:t>
            </w:r>
          </w:p>
          <w:p w14:paraId="1F55CF93" w14:textId="77777777" w:rsidR="006C75B9" w:rsidRDefault="006C75B9" w:rsidP="006C75B9">
            <w:pPr>
              <w:jc w:val="left"/>
            </w:pPr>
          </w:p>
        </w:tc>
      </w:tr>
      <w:tr w:rsidR="00F45D16" w14:paraId="594318A5" w14:textId="77777777" w:rsidTr="006C75B9">
        <w:trPr>
          <w:trHeight w:val="165"/>
        </w:trPr>
        <w:tc>
          <w:tcPr>
            <w:tcW w:w="2093" w:type="dxa"/>
            <w:vMerge/>
          </w:tcPr>
          <w:p w14:paraId="08A54859" w14:textId="77777777" w:rsidR="00F45D16" w:rsidRPr="00F45D16" w:rsidRDefault="00F45D16">
            <w:pPr>
              <w:rPr>
                <w:rFonts w:ascii="Calibri-Bold" w:hAnsi="Calibri-Bold" w:hint="eastAsia"/>
                <w:bCs/>
                <w:color w:val="000000"/>
              </w:rPr>
            </w:pPr>
          </w:p>
        </w:tc>
        <w:tc>
          <w:tcPr>
            <w:tcW w:w="3544" w:type="dxa"/>
            <w:vAlign w:val="center"/>
          </w:tcPr>
          <w:p w14:paraId="47D52871" w14:textId="77777777" w:rsidR="00F45D16" w:rsidRPr="00F45D16" w:rsidRDefault="00F45D16" w:rsidP="006C75B9">
            <w:pPr>
              <w:jc w:val="left"/>
              <w:rPr>
                <w:rFonts w:ascii="Calibri-Bold" w:hAnsi="Calibri-Bold" w:hint="eastAsia"/>
                <w:bCs/>
                <w:color w:val="000000"/>
              </w:rPr>
            </w:pPr>
            <w:r w:rsidRPr="00F45D16">
              <w:rPr>
                <w:rFonts w:ascii="Calibri-Bold" w:hAnsi="Calibri-Bold" w:hint="eastAsia"/>
                <w:bCs/>
                <w:color w:val="000000"/>
              </w:rPr>
              <w:t>R</w:t>
            </w:r>
            <w:r w:rsidRPr="00F45D16">
              <w:rPr>
                <w:rFonts w:ascii="Calibri-Bold" w:hAnsi="Calibri-Bold"/>
                <w:bCs/>
                <w:color w:val="000000"/>
              </w:rPr>
              <w:t>ačun prihoda i rashoda</w:t>
            </w:r>
          </w:p>
        </w:tc>
        <w:tc>
          <w:tcPr>
            <w:tcW w:w="4217" w:type="dxa"/>
          </w:tcPr>
          <w:p w14:paraId="577D5409" w14:textId="77777777" w:rsidR="00AA3213" w:rsidRDefault="006C75B9" w:rsidP="006C75B9">
            <w:pPr>
              <w:jc w:val="left"/>
              <w:rPr>
                <w:rStyle w:val="fontstyle01"/>
                <w:rFonts w:hint="eastAsia"/>
              </w:rPr>
            </w:pPr>
            <w:r>
              <w:rPr>
                <w:rStyle w:val="fontstyle01"/>
              </w:rPr>
              <w:t>- ukupni prihodi i rashodi iskazani prema izvorima financiranja i ekonomskoj</w:t>
            </w:r>
            <w:r>
              <w:rPr>
                <w:rFonts w:ascii="Calibri" w:hAnsi="Calibri" w:cs="Calibri"/>
                <w:color w:val="000000"/>
                <w:sz w:val="22"/>
                <w:szCs w:val="22"/>
              </w:rPr>
              <w:br/>
            </w:r>
            <w:r>
              <w:rPr>
                <w:rStyle w:val="fontstyle01"/>
              </w:rPr>
              <w:t>klasifikaciji na razini skupine</w:t>
            </w:r>
          </w:p>
          <w:p w14:paraId="7E0DC711" w14:textId="77777777" w:rsidR="006C75B9" w:rsidRPr="00AA3213" w:rsidRDefault="00AA3213" w:rsidP="006C75B9">
            <w:pPr>
              <w:jc w:val="left"/>
            </w:pPr>
            <w:r>
              <w:rPr>
                <w:rStyle w:val="fontstyle01"/>
              </w:rPr>
              <w:t>- ukupni prihodi i rashodi iskazani prema izvorima financiranja</w:t>
            </w:r>
            <w:r w:rsidR="006C75B9">
              <w:rPr>
                <w:rFonts w:ascii="Calibri" w:hAnsi="Calibri" w:cs="Calibri"/>
                <w:color w:val="000000"/>
                <w:sz w:val="22"/>
                <w:szCs w:val="22"/>
              </w:rPr>
              <w:br/>
            </w:r>
            <w:r w:rsidR="006C75B9">
              <w:rPr>
                <w:rStyle w:val="fontstyle01"/>
              </w:rPr>
              <w:t>- ukupni rashodi iskazani prema funkcijskoj klasifikaciji</w:t>
            </w:r>
          </w:p>
          <w:p w14:paraId="719AC34B" w14:textId="77777777" w:rsidR="00F45D16" w:rsidRDefault="00F45D16">
            <w:pPr>
              <w:rPr>
                <w:rFonts w:ascii="Calibri-Bold" w:hAnsi="Calibri-Bold" w:hint="eastAsia"/>
                <w:b/>
                <w:bCs/>
                <w:color w:val="000000"/>
              </w:rPr>
            </w:pPr>
          </w:p>
        </w:tc>
      </w:tr>
      <w:tr w:rsidR="006C75B9" w14:paraId="63456370" w14:textId="77777777" w:rsidTr="00CD5808">
        <w:trPr>
          <w:trHeight w:val="165"/>
        </w:trPr>
        <w:tc>
          <w:tcPr>
            <w:tcW w:w="2093" w:type="dxa"/>
            <w:vMerge/>
          </w:tcPr>
          <w:p w14:paraId="7E154A47" w14:textId="77777777" w:rsidR="006C75B9" w:rsidRPr="00F45D16" w:rsidRDefault="006C75B9">
            <w:pPr>
              <w:rPr>
                <w:rFonts w:ascii="Calibri-Bold" w:hAnsi="Calibri-Bold" w:hint="eastAsia"/>
                <w:bCs/>
                <w:color w:val="000000"/>
              </w:rPr>
            </w:pPr>
          </w:p>
        </w:tc>
        <w:tc>
          <w:tcPr>
            <w:tcW w:w="3544" w:type="dxa"/>
          </w:tcPr>
          <w:p w14:paraId="11CF8BEB" w14:textId="77777777" w:rsidR="006C75B9" w:rsidRDefault="006C75B9">
            <w:pPr>
              <w:rPr>
                <w:rFonts w:ascii="Calibri-Bold" w:hAnsi="Calibri-Bold" w:hint="eastAsia"/>
                <w:bCs/>
                <w:color w:val="000000"/>
              </w:rPr>
            </w:pPr>
          </w:p>
          <w:p w14:paraId="62376F3D" w14:textId="77777777" w:rsidR="006C75B9" w:rsidRDefault="006C75B9">
            <w:pPr>
              <w:rPr>
                <w:rFonts w:ascii="Calibri-Bold" w:hAnsi="Calibri-Bold" w:hint="eastAsia"/>
                <w:bCs/>
                <w:color w:val="000000"/>
              </w:rPr>
            </w:pPr>
          </w:p>
          <w:p w14:paraId="03B37232" w14:textId="77777777" w:rsidR="006C75B9" w:rsidRPr="00F45D16" w:rsidRDefault="006C75B9">
            <w:pPr>
              <w:rPr>
                <w:rFonts w:ascii="Calibri-Bold" w:hAnsi="Calibri-Bold" w:hint="eastAsia"/>
                <w:bCs/>
                <w:color w:val="000000"/>
              </w:rPr>
            </w:pPr>
            <w:r w:rsidRPr="00F45D16">
              <w:rPr>
                <w:rFonts w:ascii="Calibri-Bold" w:hAnsi="Calibri-Bold"/>
                <w:bCs/>
                <w:color w:val="000000"/>
              </w:rPr>
              <w:t>Račun financiranja</w:t>
            </w:r>
          </w:p>
        </w:tc>
        <w:tc>
          <w:tcPr>
            <w:tcW w:w="4217" w:type="dxa"/>
            <w:vAlign w:val="center"/>
          </w:tcPr>
          <w:p w14:paraId="1630A562" w14:textId="77777777" w:rsidR="006C75B9" w:rsidRDefault="006C75B9" w:rsidP="006C75B9">
            <w:pPr>
              <w:jc w:val="left"/>
            </w:pPr>
            <w:r>
              <w:rPr>
                <w:rStyle w:val="fontstyle01"/>
              </w:rPr>
              <w:t>- ukupni primici od financijske imovine i zaduživanja i izdaci za financijsku</w:t>
            </w:r>
            <w:r>
              <w:rPr>
                <w:rFonts w:ascii="Calibri" w:hAnsi="Calibri" w:cs="Calibri"/>
                <w:color w:val="000000"/>
                <w:sz w:val="22"/>
                <w:szCs w:val="22"/>
              </w:rPr>
              <w:br/>
            </w:r>
            <w:r>
              <w:rPr>
                <w:rStyle w:val="fontstyle01"/>
              </w:rPr>
              <w:t>imovinu i otplate instrumenata zaduživanja prema izvorima financiranja i</w:t>
            </w:r>
            <w:r>
              <w:rPr>
                <w:rFonts w:ascii="Calibri" w:hAnsi="Calibri" w:cs="Calibri"/>
                <w:color w:val="000000"/>
                <w:sz w:val="22"/>
                <w:szCs w:val="22"/>
              </w:rPr>
              <w:t xml:space="preserve"> </w:t>
            </w:r>
            <w:r>
              <w:rPr>
                <w:rStyle w:val="fontstyle01"/>
              </w:rPr>
              <w:t>ekonomskoj klasifikaciji na razini skupine</w:t>
            </w:r>
          </w:p>
        </w:tc>
      </w:tr>
      <w:tr w:rsidR="006C75B9" w14:paraId="4C143569" w14:textId="77777777" w:rsidTr="006C75B9">
        <w:trPr>
          <w:trHeight w:val="165"/>
        </w:trPr>
        <w:tc>
          <w:tcPr>
            <w:tcW w:w="2093" w:type="dxa"/>
            <w:vMerge/>
          </w:tcPr>
          <w:p w14:paraId="78049A6C" w14:textId="77777777" w:rsidR="006C75B9" w:rsidRPr="00F45D16" w:rsidRDefault="006C75B9">
            <w:pPr>
              <w:rPr>
                <w:rFonts w:ascii="Calibri-Bold" w:hAnsi="Calibri-Bold" w:hint="eastAsia"/>
                <w:bCs/>
                <w:color w:val="000000"/>
              </w:rPr>
            </w:pPr>
          </w:p>
        </w:tc>
        <w:tc>
          <w:tcPr>
            <w:tcW w:w="3544" w:type="dxa"/>
          </w:tcPr>
          <w:p w14:paraId="63A52029" w14:textId="77777777" w:rsidR="006C75B9" w:rsidRPr="00F45D16" w:rsidRDefault="006C75B9">
            <w:pPr>
              <w:rPr>
                <w:rFonts w:ascii="Calibri-Bold" w:hAnsi="Calibri-Bold" w:hint="eastAsia"/>
                <w:bCs/>
                <w:color w:val="000000"/>
              </w:rPr>
            </w:pPr>
            <w:r w:rsidRPr="00F45D16">
              <w:rPr>
                <w:rFonts w:ascii="Calibri-Bold" w:hAnsi="Calibri-Bold"/>
                <w:bCs/>
                <w:color w:val="000000"/>
              </w:rPr>
              <w:t>Preneseni višak ili preneseni manjak prihoda nad rashodima</w:t>
            </w:r>
          </w:p>
        </w:tc>
        <w:tc>
          <w:tcPr>
            <w:tcW w:w="4217" w:type="dxa"/>
          </w:tcPr>
          <w:p w14:paraId="50CFB9B5" w14:textId="77777777" w:rsidR="006C75B9" w:rsidRPr="006C75B9" w:rsidRDefault="006C75B9" w:rsidP="006C75B9">
            <w:pPr>
              <w:jc w:val="left"/>
            </w:pPr>
            <w:r>
              <w:rPr>
                <w:rStyle w:val="fontstyle01"/>
              </w:rPr>
              <w:t>- ako ukupni prihodi i primici nisu jednaki ukupnim rashodima i izdacima, opći</w:t>
            </w:r>
            <w:r>
              <w:rPr>
                <w:rFonts w:ascii="Calibri" w:hAnsi="Calibri" w:cs="Calibri"/>
                <w:color w:val="000000"/>
                <w:sz w:val="22"/>
                <w:szCs w:val="22"/>
              </w:rPr>
              <w:t xml:space="preserve"> </w:t>
            </w:r>
            <w:r>
              <w:rPr>
                <w:rStyle w:val="fontstyle01"/>
              </w:rPr>
              <w:t>dio proračuna sadrži i preneseni višak ili preneseni manjak prihoda nad</w:t>
            </w:r>
            <w:r>
              <w:rPr>
                <w:rFonts w:ascii="Calibri" w:hAnsi="Calibri" w:cs="Calibri"/>
                <w:color w:val="000000"/>
                <w:sz w:val="22"/>
                <w:szCs w:val="22"/>
              </w:rPr>
              <w:br/>
            </w:r>
            <w:r>
              <w:rPr>
                <w:rStyle w:val="fontstyle01"/>
              </w:rPr>
              <w:t>rashodima</w:t>
            </w:r>
          </w:p>
        </w:tc>
      </w:tr>
      <w:tr w:rsidR="006C75B9" w14:paraId="594D0428" w14:textId="77777777" w:rsidTr="006C75B9">
        <w:trPr>
          <w:trHeight w:val="165"/>
        </w:trPr>
        <w:tc>
          <w:tcPr>
            <w:tcW w:w="2093" w:type="dxa"/>
            <w:vMerge/>
          </w:tcPr>
          <w:p w14:paraId="3E51E31F" w14:textId="77777777" w:rsidR="006C75B9" w:rsidRPr="00F45D16" w:rsidRDefault="006C75B9">
            <w:pPr>
              <w:rPr>
                <w:rFonts w:ascii="Calibri-Bold" w:hAnsi="Calibri-Bold" w:hint="eastAsia"/>
                <w:bCs/>
                <w:color w:val="000000"/>
              </w:rPr>
            </w:pPr>
          </w:p>
        </w:tc>
        <w:tc>
          <w:tcPr>
            <w:tcW w:w="3544" w:type="dxa"/>
          </w:tcPr>
          <w:p w14:paraId="6682FE44" w14:textId="77777777" w:rsidR="006C75B9" w:rsidRDefault="006C75B9">
            <w:pPr>
              <w:rPr>
                <w:rFonts w:ascii="Calibri-Bold" w:hAnsi="Calibri-Bold" w:hint="eastAsia"/>
                <w:bCs/>
                <w:color w:val="000000"/>
              </w:rPr>
            </w:pPr>
          </w:p>
          <w:p w14:paraId="4A616705" w14:textId="77777777" w:rsidR="006C75B9" w:rsidRDefault="006C75B9">
            <w:pPr>
              <w:rPr>
                <w:rFonts w:ascii="Calibri-Bold" w:hAnsi="Calibri-Bold" w:hint="eastAsia"/>
                <w:bCs/>
                <w:color w:val="000000"/>
              </w:rPr>
            </w:pPr>
          </w:p>
          <w:p w14:paraId="15BA0F60" w14:textId="77777777" w:rsidR="006C75B9" w:rsidRDefault="006C75B9">
            <w:pPr>
              <w:rPr>
                <w:rFonts w:ascii="Calibri-Bold" w:hAnsi="Calibri-Bold" w:hint="eastAsia"/>
                <w:bCs/>
                <w:color w:val="000000"/>
              </w:rPr>
            </w:pPr>
          </w:p>
          <w:p w14:paraId="1DEC8036" w14:textId="77777777" w:rsidR="006C75B9" w:rsidRDefault="006C75B9">
            <w:pPr>
              <w:rPr>
                <w:rFonts w:ascii="Calibri-Bold" w:hAnsi="Calibri-Bold" w:hint="eastAsia"/>
                <w:bCs/>
                <w:color w:val="000000"/>
              </w:rPr>
            </w:pPr>
          </w:p>
          <w:p w14:paraId="14FF6326" w14:textId="77777777" w:rsidR="006C75B9" w:rsidRDefault="006C75B9">
            <w:pPr>
              <w:rPr>
                <w:rFonts w:ascii="Calibri-Bold" w:hAnsi="Calibri-Bold" w:hint="eastAsia"/>
                <w:bCs/>
                <w:color w:val="000000"/>
              </w:rPr>
            </w:pPr>
          </w:p>
          <w:p w14:paraId="248B5FE1" w14:textId="77777777" w:rsidR="006C75B9" w:rsidRPr="00F45D16" w:rsidRDefault="006C75B9">
            <w:pPr>
              <w:rPr>
                <w:rFonts w:ascii="Calibri-Bold" w:hAnsi="Calibri-Bold" w:hint="eastAsia"/>
                <w:bCs/>
                <w:color w:val="000000"/>
              </w:rPr>
            </w:pPr>
            <w:r>
              <w:rPr>
                <w:rFonts w:ascii="Calibri-Bold" w:hAnsi="Calibri-Bold" w:hint="eastAsia"/>
                <w:bCs/>
                <w:color w:val="000000"/>
              </w:rPr>
              <w:t>V</w:t>
            </w:r>
            <w:r>
              <w:rPr>
                <w:rFonts w:ascii="Calibri-Bold" w:hAnsi="Calibri-Bold"/>
                <w:bCs/>
                <w:color w:val="000000"/>
              </w:rPr>
              <w:t>išegodišnji plan uravnoteženja</w:t>
            </w:r>
          </w:p>
        </w:tc>
        <w:tc>
          <w:tcPr>
            <w:tcW w:w="4217" w:type="dxa"/>
          </w:tcPr>
          <w:p w14:paraId="11EA01A0" w14:textId="77777777" w:rsidR="006C75B9" w:rsidRPr="006C75B9" w:rsidRDefault="006C75B9" w:rsidP="006C75B9">
            <w:pPr>
              <w:jc w:val="left"/>
            </w:pPr>
            <w:r>
              <w:rPr>
                <w:rStyle w:val="fontstyle01"/>
              </w:rPr>
              <w:t>- ako JLP(R)S ne mogu preneseni manjak podmiriti do kraja proračunske</w:t>
            </w:r>
            <w:r>
              <w:rPr>
                <w:rFonts w:ascii="Calibri" w:hAnsi="Calibri" w:cs="Calibri"/>
                <w:color w:val="000000"/>
                <w:sz w:val="22"/>
                <w:szCs w:val="22"/>
              </w:rPr>
              <w:br/>
            </w:r>
            <w:r>
              <w:rPr>
                <w:rStyle w:val="fontstyle01"/>
              </w:rPr>
              <w:t>godine, obvezni su izraditi višegodišnji plan uravnoteženja za razdoblje za</w:t>
            </w:r>
            <w:r>
              <w:rPr>
                <w:rFonts w:ascii="Calibri" w:hAnsi="Calibri" w:cs="Calibri"/>
                <w:color w:val="000000"/>
                <w:sz w:val="22"/>
                <w:szCs w:val="22"/>
              </w:rPr>
              <w:br/>
            </w:r>
            <w:r>
              <w:rPr>
                <w:rStyle w:val="fontstyle01"/>
              </w:rPr>
              <w:t>koje se proračun donosi</w:t>
            </w:r>
            <w:r>
              <w:rPr>
                <w:rFonts w:ascii="Calibri" w:hAnsi="Calibri" w:cs="Calibri"/>
                <w:color w:val="000000"/>
                <w:sz w:val="22"/>
                <w:szCs w:val="22"/>
              </w:rPr>
              <w:br/>
            </w:r>
            <w:r>
              <w:rPr>
                <w:rStyle w:val="fontstyle01"/>
              </w:rPr>
              <w:t>- ako JLP(R)S ne mogu preneseni višak, zbog njegove veličine, u cijelosti</w:t>
            </w:r>
            <w:r>
              <w:rPr>
                <w:rFonts w:ascii="Calibri" w:hAnsi="Calibri" w:cs="Calibri"/>
                <w:color w:val="000000"/>
                <w:sz w:val="22"/>
                <w:szCs w:val="22"/>
              </w:rPr>
              <w:br/>
            </w:r>
            <w:r>
              <w:rPr>
                <w:rStyle w:val="fontstyle01"/>
              </w:rPr>
              <w:t>iskoristiti u jednoj proračunskoj godini, korištenje viška planira se</w:t>
            </w:r>
            <w:r>
              <w:rPr>
                <w:rFonts w:ascii="Calibri" w:hAnsi="Calibri" w:cs="Calibri"/>
                <w:color w:val="000000"/>
                <w:sz w:val="22"/>
                <w:szCs w:val="22"/>
              </w:rPr>
              <w:t xml:space="preserve"> </w:t>
            </w:r>
            <w:r>
              <w:rPr>
                <w:rStyle w:val="fontstyle01"/>
              </w:rPr>
              <w:t>višegodišnjim planom uravnoteženja za razdoblje za koje se proračun</w:t>
            </w:r>
            <w:r>
              <w:rPr>
                <w:rFonts w:ascii="Calibri" w:hAnsi="Calibri" w:cs="Calibri"/>
                <w:color w:val="000000"/>
                <w:sz w:val="22"/>
                <w:szCs w:val="22"/>
              </w:rPr>
              <w:t xml:space="preserve"> </w:t>
            </w:r>
            <w:r>
              <w:rPr>
                <w:rStyle w:val="fontstyle01"/>
              </w:rPr>
              <w:t>donosi</w:t>
            </w:r>
          </w:p>
        </w:tc>
      </w:tr>
      <w:tr w:rsidR="006C75B9" w14:paraId="072B6F93" w14:textId="77777777" w:rsidTr="006C75B9">
        <w:tc>
          <w:tcPr>
            <w:tcW w:w="2093" w:type="dxa"/>
          </w:tcPr>
          <w:p w14:paraId="7AA552BC" w14:textId="77777777" w:rsidR="006C75B9" w:rsidRDefault="006C75B9" w:rsidP="006C75B9">
            <w:pPr>
              <w:jc w:val="left"/>
              <w:rPr>
                <w:rFonts w:ascii="Calibri-Bold" w:hAnsi="Calibri-Bold" w:hint="eastAsia"/>
                <w:bCs/>
                <w:color w:val="000000"/>
              </w:rPr>
            </w:pPr>
          </w:p>
          <w:p w14:paraId="3363FF31" w14:textId="77777777" w:rsidR="006C75B9" w:rsidRDefault="006C75B9" w:rsidP="006C75B9">
            <w:pPr>
              <w:jc w:val="left"/>
              <w:rPr>
                <w:rFonts w:ascii="Calibri-Bold" w:hAnsi="Calibri-Bold" w:hint="eastAsia"/>
                <w:bCs/>
                <w:color w:val="000000"/>
              </w:rPr>
            </w:pPr>
          </w:p>
          <w:p w14:paraId="1E41CF3F" w14:textId="77777777" w:rsidR="006C75B9" w:rsidRPr="00F45D16" w:rsidRDefault="006C75B9" w:rsidP="006C75B9">
            <w:pPr>
              <w:jc w:val="left"/>
              <w:rPr>
                <w:rFonts w:ascii="Calibri-Bold" w:hAnsi="Calibri-Bold" w:hint="eastAsia"/>
                <w:bCs/>
                <w:color w:val="000000"/>
              </w:rPr>
            </w:pPr>
            <w:r>
              <w:rPr>
                <w:rFonts w:ascii="Calibri-Bold" w:hAnsi="Calibri-Bold"/>
                <w:bCs/>
                <w:color w:val="000000"/>
              </w:rPr>
              <w:t>Posebni dio proračuna</w:t>
            </w:r>
          </w:p>
        </w:tc>
        <w:tc>
          <w:tcPr>
            <w:tcW w:w="3544" w:type="dxa"/>
          </w:tcPr>
          <w:p w14:paraId="5DB8728F" w14:textId="77777777" w:rsidR="006C75B9" w:rsidRDefault="006C75B9">
            <w:pPr>
              <w:rPr>
                <w:rStyle w:val="fontstyle01"/>
                <w:rFonts w:hint="eastAsia"/>
              </w:rPr>
            </w:pPr>
          </w:p>
          <w:p w14:paraId="080FCD84" w14:textId="77777777" w:rsidR="006C75B9" w:rsidRDefault="006C75B9">
            <w:pPr>
              <w:rPr>
                <w:rStyle w:val="fontstyle01"/>
                <w:rFonts w:hint="eastAsia"/>
              </w:rPr>
            </w:pPr>
          </w:p>
          <w:p w14:paraId="614BF434" w14:textId="77777777" w:rsidR="006C75B9" w:rsidRPr="006C75B9" w:rsidRDefault="006C75B9">
            <w:r>
              <w:rPr>
                <w:rStyle w:val="fontstyle01"/>
              </w:rPr>
              <w:t>Plan rashoda i izdataka proračuna</w:t>
            </w:r>
            <w:r>
              <w:rPr>
                <w:rFonts w:ascii="Calibri" w:hAnsi="Calibri" w:cs="Calibri"/>
                <w:color w:val="000000"/>
                <w:sz w:val="22"/>
                <w:szCs w:val="22"/>
              </w:rPr>
              <w:br/>
            </w:r>
            <w:r>
              <w:rPr>
                <w:rStyle w:val="fontstyle01"/>
              </w:rPr>
              <w:t>JLP(R)S i njihovih proračunskih</w:t>
            </w:r>
            <w:r>
              <w:rPr>
                <w:rFonts w:ascii="Calibri" w:hAnsi="Calibri" w:cs="Calibri"/>
                <w:color w:val="000000"/>
                <w:sz w:val="22"/>
                <w:szCs w:val="22"/>
              </w:rPr>
              <w:br/>
            </w:r>
            <w:r>
              <w:rPr>
                <w:rStyle w:val="fontstyle01"/>
              </w:rPr>
              <w:t>korisnika</w:t>
            </w:r>
          </w:p>
        </w:tc>
        <w:tc>
          <w:tcPr>
            <w:tcW w:w="4217" w:type="dxa"/>
          </w:tcPr>
          <w:p w14:paraId="39E45205" w14:textId="77777777" w:rsidR="006C75B9" w:rsidRPr="006C75B9" w:rsidRDefault="006C75B9" w:rsidP="006C75B9">
            <w:r>
              <w:rPr>
                <w:rStyle w:val="fontstyle01"/>
              </w:rPr>
              <w:t>- rashodi i izdaci JLP(R)S i njihovih proračunskih korisnika iskazani po</w:t>
            </w:r>
            <w:r>
              <w:rPr>
                <w:rFonts w:ascii="Calibri" w:hAnsi="Calibri" w:cs="Calibri"/>
                <w:color w:val="000000"/>
                <w:sz w:val="22"/>
                <w:szCs w:val="22"/>
              </w:rPr>
              <w:br/>
            </w:r>
            <w:r>
              <w:rPr>
                <w:rStyle w:val="fontstyle01"/>
              </w:rPr>
              <w:t>organizacijskoj klasifikaciji, izvorima financiranja i ekonomskoj klasifikaciji</w:t>
            </w:r>
            <w:r>
              <w:rPr>
                <w:rFonts w:ascii="Calibri" w:hAnsi="Calibri" w:cs="Calibri"/>
                <w:color w:val="000000"/>
                <w:sz w:val="22"/>
                <w:szCs w:val="22"/>
              </w:rPr>
              <w:br/>
            </w:r>
            <w:r>
              <w:rPr>
                <w:rStyle w:val="fontstyle01"/>
              </w:rPr>
              <w:t>na razini skupine, raspoređenih u programe koji se sastoje od aktivnosti i</w:t>
            </w:r>
            <w:r>
              <w:rPr>
                <w:rFonts w:ascii="Calibri" w:hAnsi="Calibri" w:cs="Calibri"/>
                <w:color w:val="000000"/>
                <w:sz w:val="22"/>
                <w:szCs w:val="22"/>
              </w:rPr>
              <w:br/>
            </w:r>
            <w:r>
              <w:rPr>
                <w:rStyle w:val="fontstyle01"/>
              </w:rPr>
              <w:t>projekata</w:t>
            </w:r>
          </w:p>
        </w:tc>
      </w:tr>
      <w:tr w:rsidR="006C75B9" w14:paraId="1C44C43F" w14:textId="77777777" w:rsidTr="006C75B9">
        <w:tc>
          <w:tcPr>
            <w:tcW w:w="2093" w:type="dxa"/>
          </w:tcPr>
          <w:p w14:paraId="28640124" w14:textId="77777777" w:rsidR="006C75B9" w:rsidRDefault="006C75B9">
            <w:pPr>
              <w:rPr>
                <w:rFonts w:ascii="Calibri-Bold" w:hAnsi="Calibri-Bold" w:hint="eastAsia"/>
                <w:bCs/>
                <w:color w:val="000000"/>
              </w:rPr>
            </w:pPr>
          </w:p>
          <w:p w14:paraId="1F8C9866" w14:textId="77777777" w:rsidR="006C75B9" w:rsidRDefault="006C75B9">
            <w:pPr>
              <w:rPr>
                <w:rFonts w:ascii="Calibri-Bold" w:hAnsi="Calibri-Bold" w:hint="eastAsia"/>
                <w:bCs/>
                <w:color w:val="000000"/>
              </w:rPr>
            </w:pPr>
          </w:p>
          <w:p w14:paraId="6FBF3E1E" w14:textId="77777777" w:rsidR="006C75B9" w:rsidRDefault="006C75B9">
            <w:pPr>
              <w:rPr>
                <w:rFonts w:ascii="Calibri-Bold" w:hAnsi="Calibri-Bold" w:hint="eastAsia"/>
                <w:bCs/>
                <w:color w:val="000000"/>
              </w:rPr>
            </w:pPr>
          </w:p>
          <w:p w14:paraId="16BF0687" w14:textId="77777777" w:rsidR="006C75B9" w:rsidRDefault="006C75B9">
            <w:pPr>
              <w:rPr>
                <w:rFonts w:ascii="Calibri-Bold" w:hAnsi="Calibri-Bold" w:hint="eastAsia"/>
                <w:bCs/>
                <w:color w:val="000000"/>
              </w:rPr>
            </w:pPr>
          </w:p>
          <w:p w14:paraId="396A25CF" w14:textId="77777777" w:rsidR="006C75B9" w:rsidRDefault="006C75B9">
            <w:pPr>
              <w:rPr>
                <w:rFonts w:ascii="Calibri-Bold" w:hAnsi="Calibri-Bold" w:hint="eastAsia"/>
                <w:bCs/>
                <w:color w:val="000000"/>
              </w:rPr>
            </w:pPr>
          </w:p>
          <w:p w14:paraId="38395BF4" w14:textId="77777777" w:rsidR="006C75B9" w:rsidRDefault="006C75B9">
            <w:pPr>
              <w:rPr>
                <w:rFonts w:ascii="Calibri-Bold" w:hAnsi="Calibri-Bold" w:hint="eastAsia"/>
                <w:bCs/>
                <w:color w:val="000000"/>
              </w:rPr>
            </w:pPr>
          </w:p>
          <w:p w14:paraId="0B896CBF" w14:textId="77777777" w:rsidR="006C75B9" w:rsidRPr="00F45D16" w:rsidRDefault="006C75B9">
            <w:pPr>
              <w:rPr>
                <w:rFonts w:ascii="Calibri-Bold" w:hAnsi="Calibri-Bold" w:hint="eastAsia"/>
                <w:bCs/>
                <w:color w:val="000000"/>
              </w:rPr>
            </w:pPr>
            <w:r>
              <w:rPr>
                <w:rFonts w:ascii="Calibri-Bold" w:hAnsi="Calibri-Bold" w:hint="eastAsia"/>
                <w:bCs/>
                <w:color w:val="000000"/>
              </w:rPr>
              <w:t>O</w:t>
            </w:r>
            <w:r>
              <w:rPr>
                <w:rFonts w:ascii="Calibri-Bold" w:hAnsi="Calibri-Bold"/>
                <w:bCs/>
                <w:color w:val="000000"/>
              </w:rPr>
              <w:t>brazloženje proračuna</w:t>
            </w:r>
          </w:p>
        </w:tc>
        <w:tc>
          <w:tcPr>
            <w:tcW w:w="3544" w:type="dxa"/>
          </w:tcPr>
          <w:p w14:paraId="321D8B58" w14:textId="77777777" w:rsidR="006C75B9" w:rsidRDefault="006C75B9" w:rsidP="006C75B9">
            <w:pPr>
              <w:jc w:val="left"/>
              <w:rPr>
                <w:rStyle w:val="fontstyle01"/>
                <w:rFonts w:hint="eastAsia"/>
              </w:rPr>
            </w:pPr>
          </w:p>
          <w:p w14:paraId="32776C09" w14:textId="77777777" w:rsidR="006C75B9" w:rsidRDefault="006C75B9" w:rsidP="006C75B9">
            <w:pPr>
              <w:jc w:val="left"/>
              <w:rPr>
                <w:rStyle w:val="fontstyle01"/>
                <w:rFonts w:hint="eastAsia"/>
              </w:rPr>
            </w:pPr>
          </w:p>
          <w:p w14:paraId="2A787089" w14:textId="77777777" w:rsidR="006C75B9" w:rsidRDefault="006C75B9" w:rsidP="006C75B9">
            <w:pPr>
              <w:jc w:val="left"/>
              <w:rPr>
                <w:rStyle w:val="fontstyle01"/>
                <w:rFonts w:hint="eastAsia"/>
              </w:rPr>
            </w:pPr>
          </w:p>
          <w:p w14:paraId="6981F462" w14:textId="77777777" w:rsidR="006C75B9" w:rsidRDefault="006C75B9" w:rsidP="006C75B9">
            <w:pPr>
              <w:jc w:val="left"/>
              <w:rPr>
                <w:rStyle w:val="fontstyle01"/>
                <w:rFonts w:hint="eastAsia"/>
              </w:rPr>
            </w:pPr>
          </w:p>
          <w:p w14:paraId="398951C8" w14:textId="77777777" w:rsidR="006C75B9" w:rsidRDefault="006C75B9" w:rsidP="006C75B9">
            <w:pPr>
              <w:jc w:val="left"/>
              <w:rPr>
                <w:rStyle w:val="fontstyle01"/>
                <w:rFonts w:hint="eastAsia"/>
              </w:rPr>
            </w:pPr>
          </w:p>
          <w:p w14:paraId="64133AFF" w14:textId="77777777" w:rsidR="006C75B9" w:rsidRDefault="006C75B9" w:rsidP="006C75B9">
            <w:pPr>
              <w:jc w:val="left"/>
            </w:pPr>
            <w:r>
              <w:rPr>
                <w:rStyle w:val="fontstyle01"/>
              </w:rPr>
              <w:t>Obrazloženje općeg dijela proračuna i</w:t>
            </w:r>
            <w:r>
              <w:rPr>
                <w:rFonts w:ascii="Calibri" w:hAnsi="Calibri" w:cs="Calibri"/>
                <w:color w:val="000000"/>
                <w:sz w:val="22"/>
                <w:szCs w:val="22"/>
              </w:rPr>
              <w:t xml:space="preserve"> </w:t>
            </w:r>
            <w:r>
              <w:rPr>
                <w:rStyle w:val="fontstyle01"/>
              </w:rPr>
              <w:t>obrazloženje posebnog dijela</w:t>
            </w:r>
            <w:r>
              <w:rPr>
                <w:rFonts w:ascii="Calibri" w:hAnsi="Calibri" w:cs="Calibri"/>
                <w:color w:val="000000"/>
                <w:sz w:val="22"/>
                <w:szCs w:val="22"/>
              </w:rPr>
              <w:t xml:space="preserve"> </w:t>
            </w:r>
            <w:r>
              <w:rPr>
                <w:rStyle w:val="fontstyle01"/>
              </w:rPr>
              <w:t>proračuna</w:t>
            </w:r>
          </w:p>
          <w:p w14:paraId="50CB4491" w14:textId="77777777" w:rsidR="006C75B9" w:rsidRPr="00F45D16" w:rsidRDefault="006C75B9" w:rsidP="006C75B9">
            <w:pPr>
              <w:jc w:val="left"/>
              <w:rPr>
                <w:rFonts w:ascii="Calibri-Bold" w:hAnsi="Calibri-Bold" w:hint="eastAsia"/>
                <w:bCs/>
                <w:color w:val="000000"/>
              </w:rPr>
            </w:pPr>
          </w:p>
        </w:tc>
        <w:tc>
          <w:tcPr>
            <w:tcW w:w="4217" w:type="dxa"/>
          </w:tcPr>
          <w:p w14:paraId="21125927" w14:textId="77777777" w:rsidR="006C75B9" w:rsidRDefault="006C75B9" w:rsidP="006C75B9">
            <w:pPr>
              <w:jc w:val="left"/>
            </w:pPr>
            <w:r>
              <w:rPr>
                <w:rStyle w:val="fontstyle01"/>
              </w:rPr>
              <w:t>- obrazloženje općeg dijela proračuna JLP(R)S sadrži obrazloženje prihoda i</w:t>
            </w:r>
            <w:r>
              <w:rPr>
                <w:rFonts w:ascii="Calibri" w:hAnsi="Calibri" w:cs="Calibri"/>
                <w:color w:val="000000"/>
                <w:sz w:val="22"/>
                <w:szCs w:val="22"/>
              </w:rPr>
              <w:br/>
            </w:r>
            <w:r>
              <w:rPr>
                <w:rStyle w:val="fontstyle01"/>
              </w:rPr>
              <w:t>rashoda, primitaka i izdataka proračuna JLP(R)S i obrazloženje prenesenog</w:t>
            </w:r>
            <w:r>
              <w:rPr>
                <w:rFonts w:ascii="Calibri" w:hAnsi="Calibri" w:cs="Calibri"/>
                <w:color w:val="000000"/>
                <w:sz w:val="22"/>
                <w:szCs w:val="22"/>
              </w:rPr>
              <w:br/>
            </w:r>
            <w:r>
              <w:rPr>
                <w:rStyle w:val="fontstyle01"/>
              </w:rPr>
              <w:t>manjka odnosno viška proračuna JLP(R)S</w:t>
            </w:r>
            <w:r>
              <w:rPr>
                <w:rFonts w:ascii="Calibri" w:hAnsi="Calibri" w:cs="Calibri"/>
                <w:color w:val="000000"/>
                <w:sz w:val="22"/>
                <w:szCs w:val="22"/>
              </w:rPr>
              <w:br/>
            </w:r>
            <w:r>
              <w:rPr>
                <w:rStyle w:val="fontstyle01"/>
              </w:rPr>
              <w:t>- obrazloženje posebnog dijela proračuna JLP(R)S temelji se na</w:t>
            </w:r>
            <w:r>
              <w:rPr>
                <w:rFonts w:ascii="Calibri" w:hAnsi="Calibri" w:cs="Calibri"/>
                <w:color w:val="000000"/>
                <w:sz w:val="22"/>
                <w:szCs w:val="22"/>
              </w:rPr>
              <w:t xml:space="preserve"> </w:t>
            </w:r>
            <w:r>
              <w:rPr>
                <w:rStyle w:val="fontstyle01"/>
              </w:rPr>
              <w:t>obrazloženjima financijskih planova proračunskih korisnika, a sastoji se od</w:t>
            </w:r>
            <w:r>
              <w:rPr>
                <w:rFonts w:ascii="Calibri" w:hAnsi="Calibri" w:cs="Calibri"/>
                <w:color w:val="000000"/>
                <w:sz w:val="22"/>
                <w:szCs w:val="22"/>
              </w:rPr>
              <w:t xml:space="preserve"> </w:t>
            </w:r>
            <w:r>
              <w:rPr>
                <w:rStyle w:val="fontstyle01"/>
              </w:rPr>
              <w:t>obrazloženja programa koje se daje kroz obrazloženje aktivnosti i projekata</w:t>
            </w:r>
            <w:r>
              <w:rPr>
                <w:rFonts w:ascii="Calibri" w:hAnsi="Calibri" w:cs="Calibri"/>
                <w:color w:val="000000"/>
                <w:sz w:val="22"/>
                <w:szCs w:val="22"/>
              </w:rPr>
              <w:t xml:space="preserve"> </w:t>
            </w:r>
            <w:r>
              <w:rPr>
                <w:rStyle w:val="fontstyle01"/>
              </w:rPr>
              <w:t xml:space="preserve">zajedno s ciljevima i pokazateljima uspješnosti iz akata </w:t>
            </w:r>
            <w:r>
              <w:rPr>
                <w:rStyle w:val="fontstyle01"/>
              </w:rPr>
              <w:lastRenderedPageBreak/>
              <w:t>strateškog planiranja</w:t>
            </w:r>
          </w:p>
          <w:p w14:paraId="57F2E4EA" w14:textId="77777777" w:rsidR="006C75B9" w:rsidRDefault="006C75B9" w:rsidP="006C75B9">
            <w:pPr>
              <w:jc w:val="left"/>
              <w:rPr>
                <w:rFonts w:ascii="Calibri-Bold" w:hAnsi="Calibri-Bold" w:hint="eastAsia"/>
                <w:b/>
                <w:bCs/>
                <w:color w:val="000000"/>
              </w:rPr>
            </w:pPr>
          </w:p>
        </w:tc>
      </w:tr>
    </w:tbl>
    <w:p w14:paraId="15295332" w14:textId="77777777" w:rsidR="00AA5CFA" w:rsidRDefault="00AA5CFA">
      <w:pPr>
        <w:rPr>
          <w:rFonts w:ascii="Calibri-Bold" w:hAnsi="Calibri-Bold" w:hint="eastAsia"/>
          <w:b/>
          <w:bCs/>
          <w:color w:val="000000"/>
        </w:rPr>
      </w:pPr>
    </w:p>
    <w:p w14:paraId="6D696261" w14:textId="77777777" w:rsidR="008850E8" w:rsidRDefault="008850E8" w:rsidP="00A46BE3">
      <w:pPr>
        <w:tabs>
          <w:tab w:val="left" w:pos="0"/>
        </w:tabs>
        <w:rPr>
          <w:rFonts w:ascii="Calibri-Bold" w:hAnsi="Calibri-Bold" w:hint="eastAsia"/>
          <w:b/>
          <w:bCs/>
          <w:color w:val="000000"/>
        </w:rPr>
      </w:pPr>
    </w:p>
    <w:p w14:paraId="7EF00C6F" w14:textId="77777777" w:rsidR="00A46BE3" w:rsidRDefault="0007388D" w:rsidP="00A46BE3">
      <w:pPr>
        <w:tabs>
          <w:tab w:val="left" w:pos="0"/>
        </w:tabs>
        <w:rPr>
          <w:rFonts w:ascii="Calibri-Bold" w:hAnsi="Calibri-Bold" w:hint="eastAsia"/>
          <w:b/>
          <w:bCs/>
          <w:color w:val="000000"/>
        </w:rPr>
      </w:pPr>
      <w:r>
        <w:rPr>
          <w:rFonts w:ascii="Calibri-Bold" w:hAnsi="Calibri-Bold"/>
          <w:b/>
          <w:bCs/>
          <w:color w:val="000000"/>
        </w:rPr>
        <w:t>4.2</w:t>
      </w:r>
      <w:r w:rsidR="00A46BE3">
        <w:rPr>
          <w:rFonts w:ascii="Calibri-Bold" w:hAnsi="Calibri-Bold"/>
          <w:b/>
          <w:bCs/>
          <w:color w:val="000000"/>
        </w:rPr>
        <w:t>. Sadržaj financijskog plana proračunskog korisnika Općine Starigrad</w:t>
      </w:r>
    </w:p>
    <w:p w14:paraId="5A19FF6D" w14:textId="77777777" w:rsidR="00A46BE3" w:rsidRDefault="00A46BE3" w:rsidP="00A46BE3">
      <w:pPr>
        <w:tabs>
          <w:tab w:val="left" w:pos="0"/>
        </w:tabs>
        <w:rPr>
          <w:rFonts w:ascii="Calibri-Bold" w:hAnsi="Calibri-Bold" w:hint="eastAsia"/>
          <w:b/>
          <w:bCs/>
          <w:color w:val="000000"/>
        </w:rPr>
      </w:pPr>
    </w:p>
    <w:p w14:paraId="3268D13D" w14:textId="39DD0928" w:rsidR="00A46BE3" w:rsidRDefault="00A46BE3" w:rsidP="00A46BE3">
      <w:pPr>
        <w:tabs>
          <w:tab w:val="left" w:pos="0"/>
        </w:tabs>
        <w:rPr>
          <w:rFonts w:cs="Times New Roman"/>
          <w:color w:val="000000"/>
        </w:rPr>
      </w:pPr>
      <w:r>
        <w:rPr>
          <w:rFonts w:cs="Times New Roman"/>
          <w:color w:val="000000"/>
        </w:rPr>
        <w:t xml:space="preserve">Proračunski korisnik Općine Starigrad </w:t>
      </w:r>
      <w:r w:rsidRPr="004B2719">
        <w:rPr>
          <w:rFonts w:cs="Times New Roman"/>
          <w:color w:val="000000"/>
        </w:rPr>
        <w:t>rashode i izdatke za 202</w:t>
      </w:r>
      <w:r w:rsidR="00663552">
        <w:rPr>
          <w:rFonts w:cs="Times New Roman"/>
          <w:color w:val="000000"/>
        </w:rPr>
        <w:t>6</w:t>
      </w:r>
      <w:r w:rsidRPr="004B2719">
        <w:rPr>
          <w:rFonts w:cs="Times New Roman"/>
          <w:color w:val="000000"/>
        </w:rPr>
        <w:t>. godinu planir</w:t>
      </w:r>
      <w:r>
        <w:rPr>
          <w:rFonts w:cs="Times New Roman"/>
          <w:color w:val="000000"/>
        </w:rPr>
        <w:t>a</w:t>
      </w:r>
      <w:r w:rsidRPr="004B2719">
        <w:rPr>
          <w:rFonts w:cs="Times New Roman"/>
          <w:color w:val="000000"/>
        </w:rPr>
        <w:t xml:space="preserve"> na razini skupine (druga razina</w:t>
      </w:r>
      <w:r>
        <w:rPr>
          <w:rFonts w:cs="Times New Roman"/>
          <w:color w:val="000000"/>
        </w:rPr>
        <w:t xml:space="preserve"> </w:t>
      </w:r>
      <w:r w:rsidRPr="004B2719">
        <w:rPr>
          <w:rFonts w:cs="Times New Roman"/>
          <w:color w:val="000000"/>
        </w:rPr>
        <w:t>računskog plana) isto kao za 202</w:t>
      </w:r>
      <w:r w:rsidR="00663552">
        <w:rPr>
          <w:rFonts w:cs="Times New Roman"/>
          <w:color w:val="000000"/>
        </w:rPr>
        <w:t>7</w:t>
      </w:r>
      <w:r>
        <w:rPr>
          <w:rFonts w:cs="Times New Roman"/>
          <w:color w:val="000000"/>
        </w:rPr>
        <w:t>. i 202</w:t>
      </w:r>
      <w:r w:rsidR="00663552">
        <w:rPr>
          <w:rFonts w:cs="Times New Roman"/>
          <w:color w:val="000000"/>
        </w:rPr>
        <w:t>8</w:t>
      </w:r>
      <w:r w:rsidRPr="004B2719">
        <w:rPr>
          <w:rFonts w:cs="Times New Roman"/>
          <w:color w:val="000000"/>
        </w:rPr>
        <w:t xml:space="preserve">. </w:t>
      </w:r>
      <w:r>
        <w:rPr>
          <w:rFonts w:cs="Times New Roman"/>
          <w:color w:val="000000"/>
        </w:rPr>
        <w:t>g</w:t>
      </w:r>
      <w:r w:rsidRPr="004B2719">
        <w:rPr>
          <w:rFonts w:cs="Times New Roman"/>
          <w:color w:val="000000"/>
        </w:rPr>
        <w:t>odinu</w:t>
      </w:r>
      <w:r>
        <w:rPr>
          <w:rFonts w:cs="Times New Roman"/>
          <w:color w:val="000000"/>
        </w:rPr>
        <w:t xml:space="preserve">. </w:t>
      </w:r>
    </w:p>
    <w:p w14:paraId="7A2FE66D" w14:textId="77777777" w:rsidR="00A46BE3" w:rsidRDefault="00A46BE3" w:rsidP="00A46BE3">
      <w:pPr>
        <w:tabs>
          <w:tab w:val="left" w:pos="0"/>
        </w:tabs>
        <w:rPr>
          <w:rFonts w:cs="Times New Roman"/>
          <w:color w:val="000000"/>
        </w:rPr>
      </w:pPr>
    </w:p>
    <w:p w14:paraId="1AA7D890" w14:textId="0421D436" w:rsidR="00A46BE3" w:rsidRPr="00A46BE3" w:rsidRDefault="00A46BE3" w:rsidP="00A46BE3">
      <w:pPr>
        <w:tabs>
          <w:tab w:val="left" w:pos="0"/>
        </w:tabs>
        <w:rPr>
          <w:rFonts w:cs="Times New Roman"/>
          <w:color w:val="000000"/>
        </w:rPr>
      </w:pPr>
      <w:r w:rsidRPr="00A46BE3">
        <w:rPr>
          <w:rFonts w:cs="Times New Roman"/>
          <w:color w:val="000000"/>
        </w:rPr>
        <w:t xml:space="preserve">Prijedlog financijskog plana proračunskih </w:t>
      </w:r>
      <w:r>
        <w:rPr>
          <w:rFonts w:cs="Times New Roman"/>
          <w:color w:val="000000"/>
        </w:rPr>
        <w:t xml:space="preserve">korisnika </w:t>
      </w:r>
      <w:r w:rsidRPr="00A46BE3">
        <w:rPr>
          <w:rFonts w:cs="Times New Roman"/>
          <w:color w:val="000000"/>
        </w:rPr>
        <w:t>za razdoblje 202</w:t>
      </w:r>
      <w:r w:rsidR="00663552">
        <w:rPr>
          <w:rFonts w:cs="Times New Roman"/>
          <w:color w:val="000000"/>
        </w:rPr>
        <w:t>6</w:t>
      </w:r>
      <w:r w:rsidRPr="00A46BE3">
        <w:rPr>
          <w:rFonts w:cs="Times New Roman"/>
          <w:color w:val="000000"/>
        </w:rPr>
        <w:t>. - 202</w:t>
      </w:r>
      <w:r w:rsidR="00663552">
        <w:rPr>
          <w:rFonts w:cs="Times New Roman"/>
          <w:color w:val="000000"/>
        </w:rPr>
        <w:t>8</w:t>
      </w:r>
      <w:r w:rsidRPr="00A46BE3">
        <w:rPr>
          <w:rFonts w:cs="Times New Roman"/>
          <w:color w:val="000000"/>
        </w:rPr>
        <w:t>. sastoji se od plana za</w:t>
      </w:r>
    </w:p>
    <w:p w14:paraId="342BD49F" w14:textId="77777777" w:rsidR="00A46BE3" w:rsidRDefault="00A46BE3" w:rsidP="00A46BE3">
      <w:pPr>
        <w:tabs>
          <w:tab w:val="left" w:pos="0"/>
        </w:tabs>
        <w:rPr>
          <w:rFonts w:cs="Times New Roman"/>
          <w:color w:val="000000"/>
        </w:rPr>
      </w:pPr>
      <w:r w:rsidRPr="00A46BE3">
        <w:rPr>
          <w:rFonts w:cs="Times New Roman"/>
          <w:color w:val="000000"/>
        </w:rPr>
        <w:t>proračunsku godinu i projekcija za sljedeće dvije godine, a sadrži op</w:t>
      </w:r>
      <w:r>
        <w:rPr>
          <w:rFonts w:cs="Times New Roman"/>
          <w:color w:val="000000"/>
        </w:rPr>
        <w:t xml:space="preserve">ći i posebni dio te </w:t>
      </w:r>
      <w:r w:rsidRPr="00A46BE3">
        <w:rPr>
          <w:rFonts w:cs="Times New Roman"/>
          <w:color w:val="000000"/>
        </w:rPr>
        <w:t>obrazloženje financijskog plana.</w:t>
      </w:r>
    </w:p>
    <w:p w14:paraId="1088961B" w14:textId="77777777" w:rsidR="00A46BE3" w:rsidRDefault="00A46BE3" w:rsidP="00A46BE3">
      <w:pPr>
        <w:tabs>
          <w:tab w:val="left" w:pos="0"/>
        </w:tabs>
        <w:rPr>
          <w:rFonts w:cs="Times New Roman"/>
          <w:color w:val="000000"/>
        </w:rPr>
      </w:pPr>
    </w:p>
    <w:p w14:paraId="62F34214" w14:textId="77777777" w:rsidR="00A46BE3" w:rsidRDefault="00A46BE3" w:rsidP="00A46BE3">
      <w:pPr>
        <w:tabs>
          <w:tab w:val="left" w:pos="0"/>
        </w:tabs>
        <w:rPr>
          <w:rFonts w:ascii="Calibri-Bold" w:hAnsi="Calibri-Bold" w:hint="eastAsia"/>
          <w:bCs/>
          <w:color w:val="000000"/>
        </w:rPr>
      </w:pPr>
      <w:r>
        <w:rPr>
          <w:rFonts w:ascii="Calibri-Bold" w:hAnsi="Calibri-Bold"/>
          <w:bCs/>
          <w:color w:val="000000"/>
        </w:rPr>
        <w:t>Detaljan prikaz sadržaja financijskog plana proračunskog korisnika je sljedeći:</w:t>
      </w:r>
    </w:p>
    <w:p w14:paraId="293AE2EB" w14:textId="77777777" w:rsidR="00A46BE3" w:rsidRDefault="00A46BE3" w:rsidP="00A46BE3">
      <w:pPr>
        <w:tabs>
          <w:tab w:val="left" w:pos="0"/>
        </w:tabs>
        <w:rPr>
          <w:rFonts w:ascii="Calibri-Bold" w:hAnsi="Calibri-Bold" w:hint="eastAsia"/>
          <w:bCs/>
          <w:color w:val="000000"/>
        </w:rPr>
      </w:pPr>
    </w:p>
    <w:tbl>
      <w:tblPr>
        <w:tblStyle w:val="TableGrid"/>
        <w:tblW w:w="0" w:type="auto"/>
        <w:tblLook w:val="04A0" w:firstRow="1" w:lastRow="0" w:firstColumn="1" w:lastColumn="0" w:noHBand="0" w:noVBand="1"/>
      </w:tblPr>
      <w:tblGrid>
        <w:gridCol w:w="2066"/>
        <w:gridCol w:w="3457"/>
        <w:gridCol w:w="4105"/>
      </w:tblGrid>
      <w:tr w:rsidR="00A46BE3" w:rsidRPr="00F45D16" w14:paraId="63BC0799" w14:textId="77777777" w:rsidTr="0007388D">
        <w:tc>
          <w:tcPr>
            <w:tcW w:w="2093" w:type="dxa"/>
            <w:shd w:val="clear" w:color="auto" w:fill="D9D9D9" w:themeFill="background1" w:themeFillShade="D9"/>
          </w:tcPr>
          <w:p w14:paraId="53200931" w14:textId="77777777" w:rsidR="00A46BE3" w:rsidRPr="00F45D16" w:rsidRDefault="00A46BE3" w:rsidP="0007388D">
            <w:pPr>
              <w:rPr>
                <w:rFonts w:ascii="Calibri-Bold" w:hAnsi="Calibri-Bold" w:hint="eastAsia"/>
                <w:b/>
                <w:bCs/>
                <w:color w:val="000000"/>
              </w:rPr>
            </w:pPr>
            <w:r w:rsidRPr="00F45D16">
              <w:rPr>
                <w:rFonts w:ascii="Calibri-Bold" w:hAnsi="Calibri-Bold"/>
                <w:b/>
                <w:bCs/>
                <w:color w:val="000000"/>
              </w:rPr>
              <w:t>SADRŽAJ</w:t>
            </w:r>
          </w:p>
        </w:tc>
        <w:tc>
          <w:tcPr>
            <w:tcW w:w="3544" w:type="dxa"/>
            <w:shd w:val="clear" w:color="auto" w:fill="D9D9D9" w:themeFill="background1" w:themeFillShade="D9"/>
          </w:tcPr>
          <w:p w14:paraId="0F0D8302" w14:textId="77777777" w:rsidR="00A46BE3" w:rsidRPr="00F45D16" w:rsidRDefault="00A46BE3" w:rsidP="0007388D">
            <w:pPr>
              <w:rPr>
                <w:rFonts w:ascii="Calibri-Bold" w:hAnsi="Calibri-Bold" w:hint="eastAsia"/>
                <w:b/>
                <w:bCs/>
                <w:color w:val="000000"/>
              </w:rPr>
            </w:pPr>
            <w:r w:rsidRPr="00F45D16">
              <w:rPr>
                <w:rFonts w:ascii="Calibri-Bold" w:hAnsi="Calibri-Bold"/>
                <w:b/>
                <w:bCs/>
                <w:color w:val="000000"/>
              </w:rPr>
              <w:t>SASTAVNI DIO</w:t>
            </w:r>
          </w:p>
        </w:tc>
        <w:tc>
          <w:tcPr>
            <w:tcW w:w="4217" w:type="dxa"/>
            <w:shd w:val="clear" w:color="auto" w:fill="D9D9D9" w:themeFill="background1" w:themeFillShade="D9"/>
          </w:tcPr>
          <w:p w14:paraId="14678DEA" w14:textId="77777777" w:rsidR="00A46BE3" w:rsidRPr="00F45D16" w:rsidRDefault="00A46BE3" w:rsidP="0007388D">
            <w:pPr>
              <w:rPr>
                <w:rFonts w:ascii="Calibri-Bold" w:hAnsi="Calibri-Bold" w:hint="eastAsia"/>
                <w:b/>
                <w:bCs/>
                <w:color w:val="000000"/>
              </w:rPr>
            </w:pPr>
            <w:r w:rsidRPr="00F45D16">
              <w:rPr>
                <w:rFonts w:ascii="Calibri-Bold" w:hAnsi="Calibri-Bold"/>
                <w:b/>
                <w:bCs/>
                <w:color w:val="000000"/>
              </w:rPr>
              <w:t>OPIS SASTAVNOG DIJELA</w:t>
            </w:r>
          </w:p>
        </w:tc>
      </w:tr>
      <w:tr w:rsidR="00A46BE3" w14:paraId="2EB07708" w14:textId="77777777" w:rsidTr="0007388D">
        <w:trPr>
          <w:trHeight w:val="165"/>
        </w:trPr>
        <w:tc>
          <w:tcPr>
            <w:tcW w:w="2093" w:type="dxa"/>
            <w:vMerge w:val="restart"/>
            <w:vAlign w:val="center"/>
          </w:tcPr>
          <w:p w14:paraId="3F7C5E43" w14:textId="77777777" w:rsidR="00A46BE3" w:rsidRPr="00F45D16" w:rsidRDefault="00A46BE3" w:rsidP="0007388D">
            <w:pPr>
              <w:jc w:val="left"/>
              <w:rPr>
                <w:rFonts w:ascii="Calibri-Bold" w:hAnsi="Calibri-Bold" w:hint="eastAsia"/>
                <w:bCs/>
                <w:color w:val="000000"/>
              </w:rPr>
            </w:pPr>
          </w:p>
          <w:p w14:paraId="2138F67A" w14:textId="77777777" w:rsidR="00A46BE3" w:rsidRPr="00F45D16" w:rsidRDefault="00A46BE3" w:rsidP="0007388D">
            <w:pPr>
              <w:jc w:val="left"/>
              <w:rPr>
                <w:rFonts w:ascii="Calibri-Bold" w:hAnsi="Calibri-Bold" w:hint="eastAsia"/>
                <w:bCs/>
                <w:color w:val="000000"/>
              </w:rPr>
            </w:pPr>
            <w:r w:rsidRPr="00F45D16">
              <w:rPr>
                <w:rFonts w:ascii="Calibri-Bold" w:hAnsi="Calibri-Bold"/>
                <w:bCs/>
                <w:color w:val="000000"/>
              </w:rPr>
              <w:t xml:space="preserve">Opći dio </w:t>
            </w:r>
            <w:r>
              <w:rPr>
                <w:rFonts w:ascii="Calibri-Bold" w:hAnsi="Calibri-Bold"/>
                <w:bCs/>
                <w:color w:val="000000"/>
              </w:rPr>
              <w:t>financijskog plana</w:t>
            </w:r>
          </w:p>
          <w:p w14:paraId="21545A66" w14:textId="77777777" w:rsidR="00A46BE3" w:rsidRPr="00F45D16" w:rsidRDefault="00A46BE3" w:rsidP="0007388D">
            <w:pPr>
              <w:jc w:val="left"/>
              <w:rPr>
                <w:rFonts w:ascii="Calibri-Bold" w:hAnsi="Calibri-Bold" w:hint="eastAsia"/>
                <w:bCs/>
                <w:color w:val="000000"/>
              </w:rPr>
            </w:pPr>
          </w:p>
          <w:p w14:paraId="3C1CB7BF" w14:textId="77777777" w:rsidR="00A46BE3" w:rsidRPr="00F45D16" w:rsidRDefault="00A46BE3" w:rsidP="0007388D">
            <w:pPr>
              <w:jc w:val="left"/>
              <w:rPr>
                <w:rFonts w:ascii="Calibri-Bold" w:hAnsi="Calibri-Bold" w:hint="eastAsia"/>
                <w:bCs/>
                <w:color w:val="000000"/>
              </w:rPr>
            </w:pPr>
          </w:p>
          <w:p w14:paraId="34C1F92C" w14:textId="77777777" w:rsidR="00A46BE3" w:rsidRPr="00F45D16" w:rsidRDefault="00A46BE3" w:rsidP="0007388D">
            <w:pPr>
              <w:jc w:val="left"/>
              <w:rPr>
                <w:rFonts w:ascii="Calibri-Bold" w:hAnsi="Calibri-Bold" w:hint="eastAsia"/>
                <w:bCs/>
                <w:color w:val="000000"/>
              </w:rPr>
            </w:pPr>
          </w:p>
        </w:tc>
        <w:tc>
          <w:tcPr>
            <w:tcW w:w="3544" w:type="dxa"/>
          </w:tcPr>
          <w:p w14:paraId="1080DE36" w14:textId="77777777" w:rsidR="00A46BE3" w:rsidRDefault="00A46BE3" w:rsidP="0007388D">
            <w:pPr>
              <w:rPr>
                <w:rStyle w:val="fontstyle01"/>
                <w:rFonts w:hint="eastAsia"/>
              </w:rPr>
            </w:pPr>
          </w:p>
          <w:p w14:paraId="3AD96D33" w14:textId="77777777" w:rsidR="00A46BE3" w:rsidRDefault="00A46BE3" w:rsidP="0007388D">
            <w:pPr>
              <w:rPr>
                <w:rStyle w:val="fontstyle01"/>
                <w:rFonts w:hint="eastAsia"/>
              </w:rPr>
            </w:pPr>
          </w:p>
          <w:p w14:paraId="423EFE1E" w14:textId="77777777" w:rsidR="00A46BE3" w:rsidRDefault="00A46BE3" w:rsidP="0007388D">
            <w:pPr>
              <w:rPr>
                <w:rStyle w:val="fontstyle01"/>
                <w:rFonts w:hint="eastAsia"/>
              </w:rPr>
            </w:pPr>
          </w:p>
          <w:p w14:paraId="05A78E68" w14:textId="77777777" w:rsidR="00A46BE3" w:rsidRPr="00F45D16" w:rsidRDefault="00A46BE3" w:rsidP="0007388D">
            <w:pPr>
              <w:rPr>
                <w:rStyle w:val="fontstyle01"/>
                <w:rFonts w:hint="eastAsia"/>
              </w:rPr>
            </w:pPr>
            <w:r w:rsidRPr="00F45D16">
              <w:rPr>
                <w:rStyle w:val="fontstyle01"/>
              </w:rPr>
              <w:t>Sažetak Računa prihoda i rashoda</w:t>
            </w:r>
          </w:p>
          <w:p w14:paraId="080EE687" w14:textId="77777777" w:rsidR="00A46BE3" w:rsidRPr="00F45D16" w:rsidRDefault="00A46BE3" w:rsidP="0007388D">
            <w:r w:rsidRPr="00F45D16">
              <w:rPr>
                <w:rStyle w:val="fontstyle01"/>
              </w:rPr>
              <w:t>Sažetak Računa financiranja</w:t>
            </w:r>
          </w:p>
          <w:p w14:paraId="3EAE8C1B" w14:textId="77777777" w:rsidR="00A46BE3" w:rsidRPr="00F45D16" w:rsidRDefault="00A46BE3" w:rsidP="0007388D">
            <w:pPr>
              <w:rPr>
                <w:rFonts w:ascii="Calibri-Bold" w:hAnsi="Calibri-Bold" w:hint="eastAsia"/>
                <w:bCs/>
                <w:color w:val="000000"/>
              </w:rPr>
            </w:pPr>
          </w:p>
        </w:tc>
        <w:tc>
          <w:tcPr>
            <w:tcW w:w="4217" w:type="dxa"/>
            <w:vAlign w:val="center"/>
          </w:tcPr>
          <w:p w14:paraId="4941B117" w14:textId="77777777" w:rsidR="00A46BE3" w:rsidRDefault="00A46BE3" w:rsidP="0007388D">
            <w:pPr>
              <w:jc w:val="left"/>
              <w:rPr>
                <w:rStyle w:val="fontstyle01"/>
                <w:rFonts w:hint="eastAsia"/>
              </w:rPr>
            </w:pPr>
            <w:r>
              <w:rPr>
                <w:rStyle w:val="fontstyle01"/>
              </w:rPr>
              <w:t>- ukupni prihodi poslovanja i prihodi od prodaje nefinancijske imovine,</w:t>
            </w:r>
            <w:r>
              <w:rPr>
                <w:rFonts w:ascii="Calibri" w:hAnsi="Calibri" w:cs="Calibri"/>
                <w:color w:val="000000"/>
                <w:sz w:val="22"/>
                <w:szCs w:val="22"/>
              </w:rPr>
              <w:br/>
            </w:r>
            <w:r>
              <w:rPr>
                <w:rStyle w:val="fontstyle01"/>
              </w:rPr>
              <w:t>ukupni  rashodi poslovanja i rashodi za nabavu nefinancijske imovine</w:t>
            </w:r>
          </w:p>
          <w:p w14:paraId="78338B8E" w14:textId="77777777" w:rsidR="00A46BE3" w:rsidRDefault="00A46BE3" w:rsidP="0007388D">
            <w:pPr>
              <w:jc w:val="left"/>
            </w:pPr>
            <w:r>
              <w:t xml:space="preserve">- </w:t>
            </w:r>
            <w:r>
              <w:rPr>
                <w:rStyle w:val="fontstyle01"/>
              </w:rPr>
              <w:t>ukupni primici od financijske imovine i zaduživanja i izdaci za financijsku</w:t>
            </w:r>
            <w:r>
              <w:rPr>
                <w:rFonts w:ascii="Calibri" w:hAnsi="Calibri" w:cs="Calibri"/>
                <w:color w:val="000000"/>
                <w:sz w:val="22"/>
                <w:szCs w:val="22"/>
              </w:rPr>
              <w:br/>
            </w:r>
            <w:r>
              <w:rPr>
                <w:rStyle w:val="fontstyle01"/>
              </w:rPr>
              <w:t>imovinu i otplate zajmova</w:t>
            </w:r>
          </w:p>
          <w:p w14:paraId="6C7DBC5F" w14:textId="77777777" w:rsidR="00A46BE3" w:rsidRDefault="00A46BE3" w:rsidP="0007388D">
            <w:pPr>
              <w:jc w:val="left"/>
            </w:pPr>
          </w:p>
        </w:tc>
      </w:tr>
      <w:tr w:rsidR="00A46BE3" w14:paraId="66EE13DF" w14:textId="77777777" w:rsidTr="0007388D">
        <w:trPr>
          <w:trHeight w:val="165"/>
        </w:trPr>
        <w:tc>
          <w:tcPr>
            <w:tcW w:w="2093" w:type="dxa"/>
            <w:vMerge/>
          </w:tcPr>
          <w:p w14:paraId="42D344C0" w14:textId="77777777" w:rsidR="00A46BE3" w:rsidRPr="00F45D16" w:rsidRDefault="00A46BE3" w:rsidP="0007388D">
            <w:pPr>
              <w:rPr>
                <w:rFonts w:ascii="Calibri-Bold" w:hAnsi="Calibri-Bold" w:hint="eastAsia"/>
                <w:bCs/>
                <w:color w:val="000000"/>
              </w:rPr>
            </w:pPr>
          </w:p>
        </w:tc>
        <w:tc>
          <w:tcPr>
            <w:tcW w:w="3544" w:type="dxa"/>
            <w:vAlign w:val="center"/>
          </w:tcPr>
          <w:p w14:paraId="3E01413B" w14:textId="77777777" w:rsidR="00A46BE3" w:rsidRPr="00F45D16" w:rsidRDefault="00A46BE3" w:rsidP="0007388D">
            <w:pPr>
              <w:jc w:val="left"/>
              <w:rPr>
                <w:rFonts w:ascii="Calibri-Bold" w:hAnsi="Calibri-Bold" w:hint="eastAsia"/>
                <w:bCs/>
                <w:color w:val="000000"/>
              </w:rPr>
            </w:pPr>
            <w:r w:rsidRPr="00F45D16">
              <w:rPr>
                <w:rFonts w:ascii="Calibri-Bold" w:hAnsi="Calibri-Bold" w:hint="eastAsia"/>
                <w:bCs/>
                <w:color w:val="000000"/>
              </w:rPr>
              <w:t>R</w:t>
            </w:r>
            <w:r w:rsidRPr="00F45D16">
              <w:rPr>
                <w:rFonts w:ascii="Calibri-Bold" w:hAnsi="Calibri-Bold"/>
                <w:bCs/>
                <w:color w:val="000000"/>
              </w:rPr>
              <w:t>ačun prihoda i rashoda</w:t>
            </w:r>
          </w:p>
        </w:tc>
        <w:tc>
          <w:tcPr>
            <w:tcW w:w="4217" w:type="dxa"/>
          </w:tcPr>
          <w:p w14:paraId="51305936" w14:textId="77777777" w:rsidR="00A46BE3" w:rsidRDefault="00A46BE3" w:rsidP="0007388D">
            <w:pPr>
              <w:jc w:val="left"/>
            </w:pPr>
            <w:r>
              <w:rPr>
                <w:rStyle w:val="fontstyle01"/>
              </w:rPr>
              <w:t>- ukupni prihodi i rashodi iskazani prema izvorima financiranja i ekonomskoj</w:t>
            </w:r>
            <w:r>
              <w:rPr>
                <w:rFonts w:ascii="Calibri" w:hAnsi="Calibri" w:cs="Calibri"/>
                <w:color w:val="000000"/>
                <w:sz w:val="22"/>
                <w:szCs w:val="22"/>
              </w:rPr>
              <w:br/>
            </w:r>
            <w:r>
              <w:rPr>
                <w:rStyle w:val="fontstyle01"/>
              </w:rPr>
              <w:t>klasifikaciji na razini skupine</w:t>
            </w:r>
            <w:r>
              <w:rPr>
                <w:rFonts w:ascii="Calibri" w:hAnsi="Calibri" w:cs="Calibri"/>
                <w:color w:val="000000"/>
                <w:sz w:val="22"/>
                <w:szCs w:val="22"/>
              </w:rPr>
              <w:br/>
            </w:r>
            <w:r>
              <w:rPr>
                <w:rStyle w:val="fontstyle01"/>
              </w:rPr>
              <w:t>- ukupni rashodi iskazani prema funkcijskoj klasifikaciji</w:t>
            </w:r>
          </w:p>
          <w:p w14:paraId="46DB5238" w14:textId="77777777" w:rsidR="00A46BE3" w:rsidRDefault="00A46BE3" w:rsidP="0007388D">
            <w:pPr>
              <w:rPr>
                <w:rFonts w:ascii="Calibri-Bold" w:hAnsi="Calibri-Bold" w:hint="eastAsia"/>
                <w:b/>
                <w:bCs/>
                <w:color w:val="000000"/>
              </w:rPr>
            </w:pPr>
          </w:p>
        </w:tc>
      </w:tr>
      <w:tr w:rsidR="00A46BE3" w14:paraId="54C81D14" w14:textId="77777777" w:rsidTr="0007388D">
        <w:trPr>
          <w:trHeight w:val="165"/>
        </w:trPr>
        <w:tc>
          <w:tcPr>
            <w:tcW w:w="2093" w:type="dxa"/>
            <w:vMerge/>
          </w:tcPr>
          <w:p w14:paraId="567D3092" w14:textId="77777777" w:rsidR="00A46BE3" w:rsidRPr="00F45D16" w:rsidRDefault="00A46BE3" w:rsidP="0007388D">
            <w:pPr>
              <w:rPr>
                <w:rFonts w:ascii="Calibri-Bold" w:hAnsi="Calibri-Bold" w:hint="eastAsia"/>
                <w:bCs/>
                <w:color w:val="000000"/>
              </w:rPr>
            </w:pPr>
          </w:p>
        </w:tc>
        <w:tc>
          <w:tcPr>
            <w:tcW w:w="3544" w:type="dxa"/>
          </w:tcPr>
          <w:p w14:paraId="1BBD33B9" w14:textId="77777777" w:rsidR="00A46BE3" w:rsidRDefault="00A46BE3" w:rsidP="0007388D">
            <w:pPr>
              <w:rPr>
                <w:rFonts w:ascii="Calibri-Bold" w:hAnsi="Calibri-Bold" w:hint="eastAsia"/>
                <w:bCs/>
                <w:color w:val="000000"/>
              </w:rPr>
            </w:pPr>
          </w:p>
          <w:p w14:paraId="4475FC26" w14:textId="77777777" w:rsidR="00A46BE3" w:rsidRDefault="00A46BE3" w:rsidP="0007388D">
            <w:pPr>
              <w:rPr>
                <w:rFonts w:ascii="Calibri-Bold" w:hAnsi="Calibri-Bold" w:hint="eastAsia"/>
                <w:bCs/>
                <w:color w:val="000000"/>
              </w:rPr>
            </w:pPr>
          </w:p>
          <w:p w14:paraId="7D5723A1" w14:textId="77777777" w:rsidR="00A46BE3" w:rsidRPr="00F45D16" w:rsidRDefault="00A46BE3" w:rsidP="0007388D">
            <w:pPr>
              <w:rPr>
                <w:rFonts w:ascii="Calibri-Bold" w:hAnsi="Calibri-Bold" w:hint="eastAsia"/>
                <w:bCs/>
                <w:color w:val="000000"/>
              </w:rPr>
            </w:pPr>
            <w:r w:rsidRPr="00F45D16">
              <w:rPr>
                <w:rFonts w:ascii="Calibri-Bold" w:hAnsi="Calibri-Bold"/>
                <w:bCs/>
                <w:color w:val="000000"/>
              </w:rPr>
              <w:t>Račun financiranja</w:t>
            </w:r>
          </w:p>
        </w:tc>
        <w:tc>
          <w:tcPr>
            <w:tcW w:w="4217" w:type="dxa"/>
            <w:vAlign w:val="center"/>
          </w:tcPr>
          <w:p w14:paraId="12FED1ED" w14:textId="77777777" w:rsidR="00A46BE3" w:rsidRDefault="00A46BE3" w:rsidP="0007388D">
            <w:pPr>
              <w:jc w:val="left"/>
            </w:pPr>
            <w:r>
              <w:rPr>
                <w:rStyle w:val="fontstyle01"/>
              </w:rPr>
              <w:t>- ukupni primici od financijske imovine i zaduživanja i izdaci za financijsku</w:t>
            </w:r>
            <w:r>
              <w:rPr>
                <w:rFonts w:ascii="Calibri" w:hAnsi="Calibri" w:cs="Calibri"/>
                <w:color w:val="000000"/>
                <w:sz w:val="22"/>
                <w:szCs w:val="22"/>
              </w:rPr>
              <w:br/>
            </w:r>
            <w:r>
              <w:rPr>
                <w:rStyle w:val="fontstyle01"/>
              </w:rPr>
              <w:t>imovinu i otplate instrumenata zaduživanja prema izvorima financiranja i</w:t>
            </w:r>
            <w:r>
              <w:rPr>
                <w:rFonts w:ascii="Calibri" w:hAnsi="Calibri" w:cs="Calibri"/>
                <w:color w:val="000000"/>
                <w:sz w:val="22"/>
                <w:szCs w:val="22"/>
              </w:rPr>
              <w:t xml:space="preserve"> </w:t>
            </w:r>
            <w:r>
              <w:rPr>
                <w:rStyle w:val="fontstyle01"/>
              </w:rPr>
              <w:t>ekonomskoj klasifikaciji na razini skupine</w:t>
            </w:r>
          </w:p>
        </w:tc>
      </w:tr>
      <w:tr w:rsidR="00A46BE3" w14:paraId="3C79A273" w14:textId="77777777" w:rsidTr="0007388D">
        <w:trPr>
          <w:trHeight w:val="165"/>
        </w:trPr>
        <w:tc>
          <w:tcPr>
            <w:tcW w:w="2093" w:type="dxa"/>
            <w:vMerge/>
          </w:tcPr>
          <w:p w14:paraId="1C107A02" w14:textId="77777777" w:rsidR="00A46BE3" w:rsidRPr="00F45D16" w:rsidRDefault="00A46BE3" w:rsidP="0007388D">
            <w:pPr>
              <w:rPr>
                <w:rFonts w:ascii="Calibri-Bold" w:hAnsi="Calibri-Bold" w:hint="eastAsia"/>
                <w:bCs/>
                <w:color w:val="000000"/>
              </w:rPr>
            </w:pPr>
          </w:p>
        </w:tc>
        <w:tc>
          <w:tcPr>
            <w:tcW w:w="3544" w:type="dxa"/>
          </w:tcPr>
          <w:p w14:paraId="3F256E3A" w14:textId="77777777" w:rsidR="00A46BE3" w:rsidRDefault="00A46BE3" w:rsidP="0007388D">
            <w:pPr>
              <w:rPr>
                <w:rFonts w:ascii="Calibri-Bold" w:hAnsi="Calibri-Bold" w:hint="eastAsia"/>
                <w:bCs/>
                <w:color w:val="000000"/>
              </w:rPr>
            </w:pPr>
          </w:p>
          <w:p w14:paraId="1A027632" w14:textId="77777777" w:rsidR="00A46BE3" w:rsidRPr="00F45D16" w:rsidRDefault="00A46BE3" w:rsidP="0007388D">
            <w:pPr>
              <w:rPr>
                <w:rFonts w:ascii="Calibri-Bold" w:hAnsi="Calibri-Bold" w:hint="eastAsia"/>
                <w:bCs/>
                <w:color w:val="000000"/>
              </w:rPr>
            </w:pPr>
            <w:r w:rsidRPr="00F45D16">
              <w:rPr>
                <w:rFonts w:ascii="Calibri-Bold" w:hAnsi="Calibri-Bold"/>
                <w:bCs/>
                <w:color w:val="000000"/>
              </w:rPr>
              <w:t>Preneseni višak ili preneseni manjak prihoda nad rashodima</w:t>
            </w:r>
          </w:p>
        </w:tc>
        <w:tc>
          <w:tcPr>
            <w:tcW w:w="4217" w:type="dxa"/>
          </w:tcPr>
          <w:p w14:paraId="6B7D2ECF" w14:textId="77777777" w:rsidR="00A46BE3" w:rsidRPr="006C75B9" w:rsidRDefault="00A46BE3" w:rsidP="0007388D">
            <w:pPr>
              <w:jc w:val="left"/>
            </w:pPr>
            <w:r>
              <w:rPr>
                <w:rStyle w:val="fontstyle01"/>
              </w:rPr>
              <w:t>- ako ukupni prihodi i primici nisu jednaki ukupnim rashodima i izdacima, opći</w:t>
            </w:r>
            <w:r>
              <w:rPr>
                <w:rFonts w:ascii="Calibri" w:hAnsi="Calibri" w:cs="Calibri"/>
                <w:color w:val="000000"/>
                <w:sz w:val="22"/>
                <w:szCs w:val="22"/>
              </w:rPr>
              <w:t xml:space="preserve"> </w:t>
            </w:r>
            <w:r>
              <w:rPr>
                <w:rStyle w:val="fontstyle01"/>
              </w:rPr>
              <w:t>dio proračuna sadrži i preneseni višak ili preneseni manjak prihoda nad</w:t>
            </w:r>
            <w:r>
              <w:rPr>
                <w:rFonts w:ascii="Calibri" w:hAnsi="Calibri" w:cs="Calibri"/>
                <w:color w:val="000000"/>
                <w:sz w:val="22"/>
                <w:szCs w:val="22"/>
              </w:rPr>
              <w:br/>
            </w:r>
            <w:r>
              <w:rPr>
                <w:rStyle w:val="fontstyle01"/>
              </w:rPr>
              <w:t>rashodima</w:t>
            </w:r>
          </w:p>
        </w:tc>
      </w:tr>
      <w:tr w:rsidR="00A46BE3" w14:paraId="6788BEFC" w14:textId="77777777" w:rsidTr="0007388D">
        <w:trPr>
          <w:trHeight w:val="165"/>
        </w:trPr>
        <w:tc>
          <w:tcPr>
            <w:tcW w:w="2093" w:type="dxa"/>
            <w:vMerge/>
          </w:tcPr>
          <w:p w14:paraId="2159FB4F" w14:textId="77777777" w:rsidR="00A46BE3" w:rsidRPr="00F45D16" w:rsidRDefault="00A46BE3" w:rsidP="0007388D">
            <w:pPr>
              <w:rPr>
                <w:rFonts w:ascii="Calibri-Bold" w:hAnsi="Calibri-Bold" w:hint="eastAsia"/>
                <w:bCs/>
                <w:color w:val="000000"/>
              </w:rPr>
            </w:pPr>
          </w:p>
        </w:tc>
        <w:tc>
          <w:tcPr>
            <w:tcW w:w="3544" w:type="dxa"/>
          </w:tcPr>
          <w:p w14:paraId="140ABDE6" w14:textId="77777777" w:rsidR="00A46BE3" w:rsidRDefault="00A46BE3" w:rsidP="0007388D">
            <w:pPr>
              <w:rPr>
                <w:rFonts w:ascii="Calibri-Bold" w:hAnsi="Calibri-Bold" w:hint="eastAsia"/>
                <w:bCs/>
                <w:color w:val="000000"/>
              </w:rPr>
            </w:pPr>
          </w:p>
          <w:p w14:paraId="7B23DCDE" w14:textId="77777777" w:rsidR="00A46BE3" w:rsidRDefault="00A46BE3" w:rsidP="0007388D">
            <w:pPr>
              <w:rPr>
                <w:rFonts w:ascii="Calibri-Bold" w:hAnsi="Calibri-Bold" w:hint="eastAsia"/>
                <w:bCs/>
                <w:color w:val="000000"/>
              </w:rPr>
            </w:pPr>
          </w:p>
          <w:p w14:paraId="29DD3952" w14:textId="77777777" w:rsidR="00A46BE3" w:rsidRDefault="00A46BE3" w:rsidP="0007388D">
            <w:pPr>
              <w:rPr>
                <w:rFonts w:ascii="Calibri-Bold" w:hAnsi="Calibri-Bold" w:hint="eastAsia"/>
                <w:bCs/>
                <w:color w:val="000000"/>
              </w:rPr>
            </w:pPr>
          </w:p>
          <w:p w14:paraId="26ECBE41" w14:textId="77777777" w:rsidR="00A46BE3" w:rsidRDefault="00A46BE3" w:rsidP="0007388D">
            <w:pPr>
              <w:rPr>
                <w:rFonts w:ascii="Calibri-Bold" w:hAnsi="Calibri-Bold" w:hint="eastAsia"/>
                <w:bCs/>
                <w:color w:val="000000"/>
              </w:rPr>
            </w:pPr>
          </w:p>
          <w:p w14:paraId="634B97AE" w14:textId="77777777" w:rsidR="00A46BE3" w:rsidRDefault="00A46BE3" w:rsidP="0007388D">
            <w:pPr>
              <w:rPr>
                <w:rFonts w:ascii="Calibri-Bold" w:hAnsi="Calibri-Bold" w:hint="eastAsia"/>
                <w:bCs/>
                <w:color w:val="000000"/>
              </w:rPr>
            </w:pPr>
          </w:p>
          <w:p w14:paraId="6606E6C5" w14:textId="77777777" w:rsidR="00A46BE3" w:rsidRDefault="00A46BE3" w:rsidP="0007388D">
            <w:pPr>
              <w:rPr>
                <w:rFonts w:ascii="Calibri-Bold" w:hAnsi="Calibri-Bold" w:hint="eastAsia"/>
                <w:bCs/>
                <w:color w:val="000000"/>
              </w:rPr>
            </w:pPr>
          </w:p>
          <w:p w14:paraId="31CFF75F" w14:textId="77777777" w:rsidR="00A46BE3" w:rsidRPr="00F45D16" w:rsidRDefault="00A46BE3" w:rsidP="0007388D">
            <w:pPr>
              <w:rPr>
                <w:rFonts w:ascii="Calibri-Bold" w:hAnsi="Calibri-Bold" w:hint="eastAsia"/>
                <w:bCs/>
                <w:color w:val="000000"/>
              </w:rPr>
            </w:pPr>
            <w:r>
              <w:rPr>
                <w:rFonts w:ascii="Calibri-Bold" w:hAnsi="Calibri-Bold" w:hint="eastAsia"/>
                <w:bCs/>
                <w:color w:val="000000"/>
              </w:rPr>
              <w:t>V</w:t>
            </w:r>
            <w:r>
              <w:rPr>
                <w:rFonts w:ascii="Calibri-Bold" w:hAnsi="Calibri-Bold"/>
                <w:bCs/>
                <w:color w:val="000000"/>
              </w:rPr>
              <w:t>išegodišnji plan uravnoteženja</w:t>
            </w:r>
          </w:p>
        </w:tc>
        <w:tc>
          <w:tcPr>
            <w:tcW w:w="4217" w:type="dxa"/>
          </w:tcPr>
          <w:p w14:paraId="1251CF42" w14:textId="77777777" w:rsidR="00A46BE3" w:rsidRPr="006C75B9" w:rsidRDefault="00A46BE3" w:rsidP="0007388D">
            <w:pPr>
              <w:jc w:val="left"/>
            </w:pPr>
            <w:r>
              <w:rPr>
                <w:rStyle w:val="fontstyle01"/>
              </w:rPr>
              <w:t>- ako proračunski korisnik ne može preneseni manjak podmiriti do kraja proračunske</w:t>
            </w:r>
            <w:r>
              <w:rPr>
                <w:rFonts w:ascii="Calibri" w:hAnsi="Calibri" w:cs="Calibri"/>
                <w:color w:val="000000"/>
                <w:sz w:val="22"/>
                <w:szCs w:val="22"/>
              </w:rPr>
              <w:t xml:space="preserve"> </w:t>
            </w:r>
            <w:r>
              <w:rPr>
                <w:rStyle w:val="fontstyle01"/>
              </w:rPr>
              <w:t>godine, obvezan je izraditi višegodišnji plan uravnoteženja za razdoblje za</w:t>
            </w:r>
            <w:r>
              <w:rPr>
                <w:rFonts w:ascii="Calibri" w:hAnsi="Calibri" w:cs="Calibri"/>
                <w:color w:val="000000"/>
                <w:sz w:val="22"/>
                <w:szCs w:val="22"/>
              </w:rPr>
              <w:t xml:space="preserve"> </w:t>
            </w:r>
            <w:r>
              <w:rPr>
                <w:rStyle w:val="fontstyle01"/>
              </w:rPr>
              <w:t>koje se financijski plan donosi</w:t>
            </w:r>
            <w:r>
              <w:rPr>
                <w:rFonts w:ascii="Calibri" w:hAnsi="Calibri" w:cs="Calibri"/>
                <w:color w:val="000000"/>
                <w:sz w:val="22"/>
                <w:szCs w:val="22"/>
              </w:rPr>
              <w:br/>
            </w:r>
            <w:r>
              <w:rPr>
                <w:rStyle w:val="fontstyle01"/>
              </w:rPr>
              <w:t>- ako proračunski korisnik ne može preneseni višak, zbog njegove veličine, u cijelosti</w:t>
            </w:r>
            <w:r>
              <w:rPr>
                <w:rFonts w:ascii="Calibri" w:hAnsi="Calibri" w:cs="Calibri"/>
                <w:color w:val="000000"/>
                <w:sz w:val="22"/>
                <w:szCs w:val="22"/>
              </w:rPr>
              <w:t xml:space="preserve"> </w:t>
            </w:r>
            <w:r>
              <w:rPr>
                <w:rStyle w:val="fontstyle01"/>
              </w:rPr>
              <w:t>iskoristiti u jednoj proračunskoj godini, korištenje viška planira se</w:t>
            </w:r>
            <w:r>
              <w:rPr>
                <w:rFonts w:ascii="Calibri" w:hAnsi="Calibri" w:cs="Calibri"/>
                <w:color w:val="000000"/>
                <w:sz w:val="22"/>
                <w:szCs w:val="22"/>
              </w:rPr>
              <w:t xml:space="preserve"> </w:t>
            </w:r>
            <w:r>
              <w:rPr>
                <w:rStyle w:val="fontstyle01"/>
              </w:rPr>
              <w:t xml:space="preserve">višegodišnjim planom uravnoteženja za </w:t>
            </w:r>
            <w:r>
              <w:rPr>
                <w:rStyle w:val="fontstyle01"/>
              </w:rPr>
              <w:lastRenderedPageBreak/>
              <w:t>razdoblje za koje se financijski plan</w:t>
            </w:r>
            <w:r>
              <w:rPr>
                <w:rFonts w:ascii="Calibri" w:hAnsi="Calibri" w:cs="Calibri"/>
                <w:color w:val="000000"/>
                <w:sz w:val="22"/>
                <w:szCs w:val="22"/>
              </w:rPr>
              <w:t xml:space="preserve"> </w:t>
            </w:r>
            <w:r>
              <w:rPr>
                <w:rStyle w:val="fontstyle01"/>
              </w:rPr>
              <w:t>donosi</w:t>
            </w:r>
          </w:p>
        </w:tc>
      </w:tr>
      <w:tr w:rsidR="00A46BE3" w14:paraId="54B2A062" w14:textId="77777777" w:rsidTr="0007388D">
        <w:tc>
          <w:tcPr>
            <w:tcW w:w="2093" w:type="dxa"/>
          </w:tcPr>
          <w:p w14:paraId="0413C99A" w14:textId="77777777" w:rsidR="00A46BE3" w:rsidRDefault="00A46BE3" w:rsidP="0007388D">
            <w:pPr>
              <w:jc w:val="left"/>
              <w:rPr>
                <w:rFonts w:ascii="Calibri-Bold" w:hAnsi="Calibri-Bold" w:hint="eastAsia"/>
                <w:bCs/>
                <w:color w:val="000000"/>
              </w:rPr>
            </w:pPr>
          </w:p>
          <w:p w14:paraId="0629DCAF" w14:textId="77777777" w:rsidR="00A46BE3" w:rsidRDefault="00A46BE3" w:rsidP="0007388D">
            <w:pPr>
              <w:jc w:val="left"/>
              <w:rPr>
                <w:rFonts w:ascii="Calibri-Bold" w:hAnsi="Calibri-Bold" w:hint="eastAsia"/>
                <w:bCs/>
                <w:color w:val="000000"/>
              </w:rPr>
            </w:pPr>
          </w:p>
          <w:p w14:paraId="0F03E0D9" w14:textId="77777777" w:rsidR="00A46BE3" w:rsidRPr="00F45D16" w:rsidRDefault="00A46BE3" w:rsidP="0007388D">
            <w:pPr>
              <w:jc w:val="left"/>
              <w:rPr>
                <w:rFonts w:ascii="Calibri-Bold" w:hAnsi="Calibri-Bold" w:hint="eastAsia"/>
                <w:bCs/>
                <w:color w:val="000000"/>
              </w:rPr>
            </w:pPr>
            <w:r>
              <w:rPr>
                <w:rFonts w:ascii="Calibri-Bold" w:hAnsi="Calibri-Bold"/>
                <w:bCs/>
                <w:color w:val="000000"/>
              </w:rPr>
              <w:t>Posebni dio financijskog plana</w:t>
            </w:r>
          </w:p>
        </w:tc>
        <w:tc>
          <w:tcPr>
            <w:tcW w:w="3544" w:type="dxa"/>
          </w:tcPr>
          <w:p w14:paraId="22D58BF2" w14:textId="77777777" w:rsidR="00A46BE3" w:rsidRDefault="00A46BE3" w:rsidP="0007388D">
            <w:pPr>
              <w:rPr>
                <w:rStyle w:val="fontstyle01"/>
                <w:rFonts w:hint="eastAsia"/>
              </w:rPr>
            </w:pPr>
          </w:p>
          <w:p w14:paraId="756695B5" w14:textId="77777777" w:rsidR="00A46BE3" w:rsidRDefault="00A46BE3" w:rsidP="0007388D">
            <w:pPr>
              <w:rPr>
                <w:rStyle w:val="fontstyle01"/>
                <w:rFonts w:hint="eastAsia"/>
              </w:rPr>
            </w:pPr>
          </w:p>
          <w:p w14:paraId="7B8A35F0" w14:textId="77777777" w:rsidR="00A46BE3" w:rsidRPr="006C75B9" w:rsidRDefault="00A46BE3" w:rsidP="0007388D">
            <w:pPr>
              <w:jc w:val="left"/>
            </w:pPr>
            <w:r>
              <w:rPr>
                <w:rStyle w:val="fontstyle01"/>
              </w:rPr>
              <w:t>Plan rashoda i izdataka proračunskih</w:t>
            </w:r>
            <w:r>
              <w:rPr>
                <w:rFonts w:ascii="Calibri" w:hAnsi="Calibri" w:cs="Calibri"/>
                <w:color w:val="000000"/>
                <w:sz w:val="22"/>
                <w:szCs w:val="22"/>
              </w:rPr>
              <w:t xml:space="preserve"> </w:t>
            </w:r>
            <w:r>
              <w:rPr>
                <w:rStyle w:val="fontstyle01"/>
              </w:rPr>
              <w:t>korisnika</w:t>
            </w:r>
          </w:p>
        </w:tc>
        <w:tc>
          <w:tcPr>
            <w:tcW w:w="4217" w:type="dxa"/>
          </w:tcPr>
          <w:p w14:paraId="00443BB1" w14:textId="77777777" w:rsidR="00A46BE3" w:rsidRPr="006C75B9" w:rsidRDefault="00A46BE3" w:rsidP="0007388D">
            <w:pPr>
              <w:jc w:val="left"/>
            </w:pPr>
            <w:r>
              <w:rPr>
                <w:rStyle w:val="fontstyle01"/>
              </w:rPr>
              <w:t>- rashodi i izdaci iskazani po</w:t>
            </w:r>
            <w:r>
              <w:rPr>
                <w:rFonts w:ascii="Calibri" w:hAnsi="Calibri" w:cs="Calibri"/>
                <w:color w:val="000000"/>
                <w:sz w:val="22"/>
                <w:szCs w:val="22"/>
              </w:rPr>
              <w:br/>
            </w:r>
            <w:r>
              <w:rPr>
                <w:rStyle w:val="fontstyle01"/>
              </w:rPr>
              <w:t>izvorima financiranja i ekonomskoj klasifikaciji</w:t>
            </w:r>
            <w:r>
              <w:rPr>
                <w:rFonts w:ascii="Calibri" w:hAnsi="Calibri" w:cs="Calibri"/>
                <w:color w:val="000000"/>
                <w:sz w:val="22"/>
                <w:szCs w:val="22"/>
              </w:rPr>
              <w:t xml:space="preserve"> </w:t>
            </w:r>
            <w:r>
              <w:rPr>
                <w:rStyle w:val="fontstyle01"/>
              </w:rPr>
              <w:t>na razini skupine, raspoređeni u programe koji se sastoje od aktivnosti i</w:t>
            </w:r>
            <w:r>
              <w:rPr>
                <w:rFonts w:ascii="Calibri" w:hAnsi="Calibri" w:cs="Calibri"/>
                <w:color w:val="000000"/>
                <w:sz w:val="22"/>
                <w:szCs w:val="22"/>
              </w:rPr>
              <w:t xml:space="preserve"> </w:t>
            </w:r>
            <w:r>
              <w:rPr>
                <w:rStyle w:val="fontstyle01"/>
              </w:rPr>
              <w:t>projekata</w:t>
            </w:r>
          </w:p>
        </w:tc>
      </w:tr>
      <w:tr w:rsidR="00A46BE3" w14:paraId="69ED2026" w14:textId="77777777" w:rsidTr="0007388D">
        <w:tc>
          <w:tcPr>
            <w:tcW w:w="2093" w:type="dxa"/>
          </w:tcPr>
          <w:p w14:paraId="63BFBA73" w14:textId="77777777" w:rsidR="00A46BE3" w:rsidRDefault="00A46BE3" w:rsidP="0007388D">
            <w:pPr>
              <w:rPr>
                <w:rFonts w:ascii="Calibri-Bold" w:hAnsi="Calibri-Bold" w:hint="eastAsia"/>
                <w:bCs/>
                <w:color w:val="000000"/>
              </w:rPr>
            </w:pPr>
          </w:p>
          <w:p w14:paraId="4D60B6C0" w14:textId="77777777" w:rsidR="00A46BE3" w:rsidRDefault="00A46BE3" w:rsidP="0007388D">
            <w:pPr>
              <w:rPr>
                <w:rFonts w:ascii="Calibri-Bold" w:hAnsi="Calibri-Bold" w:hint="eastAsia"/>
                <w:bCs/>
                <w:color w:val="000000"/>
              </w:rPr>
            </w:pPr>
          </w:p>
          <w:p w14:paraId="124FCFF3" w14:textId="77777777" w:rsidR="00A46BE3" w:rsidRDefault="00A46BE3" w:rsidP="0007388D">
            <w:pPr>
              <w:rPr>
                <w:rFonts w:ascii="Calibri-Bold" w:hAnsi="Calibri-Bold" w:hint="eastAsia"/>
                <w:bCs/>
                <w:color w:val="000000"/>
              </w:rPr>
            </w:pPr>
          </w:p>
          <w:p w14:paraId="1AE95BD8" w14:textId="77777777" w:rsidR="00A46BE3" w:rsidRDefault="00A46BE3" w:rsidP="0007388D">
            <w:pPr>
              <w:rPr>
                <w:rFonts w:ascii="Calibri-Bold" w:hAnsi="Calibri-Bold" w:hint="eastAsia"/>
                <w:bCs/>
                <w:color w:val="000000"/>
              </w:rPr>
            </w:pPr>
          </w:p>
          <w:p w14:paraId="05753AA6" w14:textId="77777777" w:rsidR="00A46BE3" w:rsidRDefault="00A46BE3" w:rsidP="0007388D">
            <w:pPr>
              <w:rPr>
                <w:rFonts w:ascii="Calibri-Bold" w:hAnsi="Calibri-Bold" w:hint="eastAsia"/>
                <w:bCs/>
                <w:color w:val="000000"/>
              </w:rPr>
            </w:pPr>
          </w:p>
          <w:p w14:paraId="7D57A939" w14:textId="77777777" w:rsidR="00A46BE3" w:rsidRDefault="00A46BE3" w:rsidP="0007388D">
            <w:pPr>
              <w:rPr>
                <w:rFonts w:ascii="Calibri-Bold" w:hAnsi="Calibri-Bold" w:hint="eastAsia"/>
                <w:bCs/>
                <w:color w:val="000000"/>
              </w:rPr>
            </w:pPr>
          </w:p>
          <w:p w14:paraId="2703F562" w14:textId="77777777" w:rsidR="00A46BE3" w:rsidRPr="00F45D16" w:rsidRDefault="00A46BE3" w:rsidP="0007388D">
            <w:pPr>
              <w:rPr>
                <w:rFonts w:ascii="Calibri-Bold" w:hAnsi="Calibri-Bold" w:hint="eastAsia"/>
                <w:bCs/>
                <w:color w:val="000000"/>
              </w:rPr>
            </w:pPr>
            <w:r>
              <w:rPr>
                <w:rFonts w:ascii="Calibri-Bold" w:hAnsi="Calibri-Bold" w:hint="eastAsia"/>
                <w:bCs/>
                <w:color w:val="000000"/>
              </w:rPr>
              <w:t>O</w:t>
            </w:r>
            <w:r>
              <w:rPr>
                <w:rFonts w:ascii="Calibri-Bold" w:hAnsi="Calibri-Bold"/>
                <w:bCs/>
                <w:color w:val="000000"/>
              </w:rPr>
              <w:t>brazloženje financijskog plana</w:t>
            </w:r>
          </w:p>
        </w:tc>
        <w:tc>
          <w:tcPr>
            <w:tcW w:w="3544" w:type="dxa"/>
          </w:tcPr>
          <w:p w14:paraId="5DE965E0" w14:textId="77777777" w:rsidR="00A46BE3" w:rsidRDefault="00A46BE3" w:rsidP="0007388D">
            <w:pPr>
              <w:jc w:val="left"/>
              <w:rPr>
                <w:rStyle w:val="fontstyle01"/>
                <w:rFonts w:hint="eastAsia"/>
              </w:rPr>
            </w:pPr>
          </w:p>
          <w:p w14:paraId="5DF621D5" w14:textId="77777777" w:rsidR="00A46BE3" w:rsidRDefault="00A46BE3" w:rsidP="0007388D">
            <w:pPr>
              <w:jc w:val="left"/>
              <w:rPr>
                <w:rStyle w:val="fontstyle01"/>
                <w:rFonts w:hint="eastAsia"/>
              </w:rPr>
            </w:pPr>
          </w:p>
          <w:p w14:paraId="467CD1F4" w14:textId="77777777" w:rsidR="00A46BE3" w:rsidRDefault="00A46BE3" w:rsidP="0007388D">
            <w:pPr>
              <w:jc w:val="left"/>
              <w:rPr>
                <w:rStyle w:val="fontstyle01"/>
                <w:rFonts w:hint="eastAsia"/>
              </w:rPr>
            </w:pPr>
          </w:p>
          <w:p w14:paraId="3D8F54DC" w14:textId="77777777" w:rsidR="00A46BE3" w:rsidRDefault="00A46BE3" w:rsidP="0007388D">
            <w:pPr>
              <w:jc w:val="left"/>
              <w:rPr>
                <w:rStyle w:val="fontstyle01"/>
                <w:rFonts w:hint="eastAsia"/>
              </w:rPr>
            </w:pPr>
          </w:p>
          <w:p w14:paraId="3EB73FE2" w14:textId="77777777" w:rsidR="00A46BE3" w:rsidRDefault="00A46BE3" w:rsidP="0007388D">
            <w:pPr>
              <w:jc w:val="left"/>
              <w:rPr>
                <w:rStyle w:val="fontstyle01"/>
                <w:rFonts w:hint="eastAsia"/>
              </w:rPr>
            </w:pPr>
          </w:p>
          <w:p w14:paraId="171A9147" w14:textId="77777777" w:rsidR="00A46BE3" w:rsidRDefault="00A46BE3" w:rsidP="0007388D">
            <w:pPr>
              <w:jc w:val="left"/>
            </w:pPr>
            <w:r>
              <w:rPr>
                <w:rStyle w:val="fontstyle01"/>
              </w:rPr>
              <w:t>Obrazloženje općeg dijela financijskog plana i</w:t>
            </w:r>
            <w:r>
              <w:rPr>
                <w:rFonts w:ascii="Calibri" w:hAnsi="Calibri" w:cs="Calibri"/>
                <w:color w:val="000000"/>
                <w:sz w:val="22"/>
                <w:szCs w:val="22"/>
              </w:rPr>
              <w:t xml:space="preserve"> </w:t>
            </w:r>
            <w:r>
              <w:rPr>
                <w:rStyle w:val="fontstyle01"/>
              </w:rPr>
              <w:t>obrazloženje posebnog dijela</w:t>
            </w:r>
            <w:r>
              <w:rPr>
                <w:rFonts w:ascii="Calibri" w:hAnsi="Calibri" w:cs="Calibri"/>
                <w:color w:val="000000"/>
                <w:sz w:val="22"/>
                <w:szCs w:val="22"/>
              </w:rPr>
              <w:t xml:space="preserve"> </w:t>
            </w:r>
            <w:r>
              <w:rPr>
                <w:rStyle w:val="fontstyle01"/>
              </w:rPr>
              <w:t>financijskog plana</w:t>
            </w:r>
          </w:p>
          <w:p w14:paraId="714411E7" w14:textId="77777777" w:rsidR="00A46BE3" w:rsidRPr="00F45D16" w:rsidRDefault="00A46BE3" w:rsidP="0007388D">
            <w:pPr>
              <w:jc w:val="left"/>
              <w:rPr>
                <w:rFonts w:ascii="Calibri-Bold" w:hAnsi="Calibri-Bold" w:hint="eastAsia"/>
                <w:bCs/>
                <w:color w:val="000000"/>
              </w:rPr>
            </w:pPr>
          </w:p>
        </w:tc>
        <w:tc>
          <w:tcPr>
            <w:tcW w:w="4217" w:type="dxa"/>
          </w:tcPr>
          <w:p w14:paraId="5B6FC533" w14:textId="77777777" w:rsidR="00A46BE3" w:rsidRPr="008E7524" w:rsidRDefault="00A46BE3" w:rsidP="0007388D">
            <w:pPr>
              <w:jc w:val="left"/>
            </w:pPr>
            <w:r>
              <w:rPr>
                <w:rStyle w:val="fontstyle01"/>
              </w:rPr>
              <w:t>- obrazloženje općeg dijela financijskog plana sadrži obrazloženje prihoda i</w:t>
            </w:r>
            <w:r>
              <w:rPr>
                <w:rFonts w:ascii="Calibri" w:hAnsi="Calibri" w:cs="Calibri"/>
                <w:color w:val="000000"/>
                <w:sz w:val="22"/>
                <w:szCs w:val="22"/>
              </w:rPr>
              <w:t xml:space="preserve"> </w:t>
            </w:r>
            <w:r>
              <w:rPr>
                <w:rStyle w:val="fontstyle01"/>
              </w:rPr>
              <w:t>rashoda, primitaka i izdataka te  obrazloženje prenesenog</w:t>
            </w:r>
            <w:r>
              <w:rPr>
                <w:rFonts w:ascii="Calibri" w:hAnsi="Calibri" w:cs="Calibri"/>
                <w:color w:val="000000"/>
                <w:sz w:val="22"/>
                <w:szCs w:val="22"/>
              </w:rPr>
              <w:t xml:space="preserve"> </w:t>
            </w:r>
            <w:r>
              <w:rPr>
                <w:rStyle w:val="fontstyle01"/>
              </w:rPr>
              <w:t>manjka odnosno viška financijskog plana</w:t>
            </w:r>
            <w:r>
              <w:rPr>
                <w:rFonts w:ascii="Calibri" w:hAnsi="Calibri" w:cs="Calibri"/>
                <w:color w:val="000000"/>
                <w:sz w:val="22"/>
                <w:szCs w:val="22"/>
              </w:rPr>
              <w:br/>
            </w:r>
            <w:r>
              <w:rPr>
                <w:rStyle w:val="fontstyle01"/>
              </w:rPr>
              <w:t>- obrazloženje posebnog dijela financijskog plana sastoji se od</w:t>
            </w:r>
            <w:r>
              <w:rPr>
                <w:rFonts w:ascii="Calibri" w:hAnsi="Calibri" w:cs="Calibri"/>
                <w:color w:val="000000"/>
                <w:sz w:val="22"/>
                <w:szCs w:val="22"/>
              </w:rPr>
              <w:t xml:space="preserve"> </w:t>
            </w:r>
            <w:r>
              <w:rPr>
                <w:rStyle w:val="fontstyle01"/>
              </w:rPr>
              <w:t>obrazloženja programa koje se daje kroz obrazloženje aktivnosti i projekata</w:t>
            </w:r>
            <w:r>
              <w:rPr>
                <w:rFonts w:ascii="Calibri" w:hAnsi="Calibri" w:cs="Calibri"/>
                <w:color w:val="000000"/>
                <w:sz w:val="22"/>
                <w:szCs w:val="22"/>
              </w:rPr>
              <w:t xml:space="preserve"> </w:t>
            </w:r>
            <w:r>
              <w:rPr>
                <w:rStyle w:val="fontstyle01"/>
              </w:rPr>
              <w:t>zajedno s ciljevima i pokazateljima uspješnosti iz akata strateškog planiranja i godišnjeg plana rada</w:t>
            </w:r>
          </w:p>
        </w:tc>
      </w:tr>
    </w:tbl>
    <w:p w14:paraId="48F73DDA" w14:textId="77777777" w:rsidR="00A46BE3" w:rsidRDefault="00A46BE3">
      <w:pPr>
        <w:rPr>
          <w:rFonts w:ascii="Calibri-Bold" w:hAnsi="Calibri-Bold" w:hint="eastAsia"/>
          <w:b/>
          <w:bCs/>
          <w:color w:val="000000"/>
        </w:rPr>
      </w:pPr>
    </w:p>
    <w:p w14:paraId="500CAB30" w14:textId="77777777" w:rsidR="00C11CC1" w:rsidRDefault="00C11CC1" w:rsidP="00C11CC1">
      <w:pPr>
        <w:rPr>
          <w:rFonts w:ascii="Calibri-Bold" w:hAnsi="Calibri-Bold" w:hint="eastAsia"/>
          <w:b/>
          <w:bCs/>
          <w:color w:val="000000"/>
        </w:rPr>
      </w:pPr>
      <w:r>
        <w:rPr>
          <w:rFonts w:ascii="Calibri-Bold" w:hAnsi="Calibri-Bold"/>
          <w:b/>
          <w:bCs/>
          <w:color w:val="000000"/>
        </w:rPr>
        <w:t>4.3. Rokovi za predlaganje i donošenje financijskog plana proračunskog korisnika Općine Starigrad</w:t>
      </w:r>
    </w:p>
    <w:p w14:paraId="111025DC" w14:textId="77777777" w:rsidR="00C11CC1" w:rsidRDefault="00C11CC1" w:rsidP="00C11CC1">
      <w:pPr>
        <w:rPr>
          <w:rFonts w:ascii="Calibri-Bold" w:hAnsi="Calibri-Bold" w:hint="eastAsia"/>
          <w:b/>
          <w:bCs/>
          <w:color w:val="000000"/>
        </w:rPr>
      </w:pPr>
    </w:p>
    <w:p w14:paraId="33891F19" w14:textId="77777777" w:rsidR="00C11CC1" w:rsidRDefault="00C11CC1" w:rsidP="00C11CC1">
      <w:pPr>
        <w:rPr>
          <w:rFonts w:ascii="Calibri-Bold" w:hAnsi="Calibri-Bold" w:hint="eastAsia"/>
          <w:bCs/>
          <w:color w:val="000000"/>
        </w:rPr>
      </w:pPr>
      <w:r w:rsidRPr="00D939D6">
        <w:rPr>
          <w:rFonts w:ascii="Calibri-Bold" w:hAnsi="Calibri-Bold"/>
          <w:bCs/>
          <w:color w:val="000000"/>
        </w:rPr>
        <w:t>Rokovi</w:t>
      </w:r>
      <w:r>
        <w:rPr>
          <w:rFonts w:ascii="Calibri-Bold" w:hAnsi="Calibri-Bold"/>
          <w:bCs/>
          <w:color w:val="000000"/>
        </w:rPr>
        <w:t xml:space="preserve"> za predlaganje i donošenje financijskog plana proračunskog korisnika O</w:t>
      </w:r>
      <w:r>
        <w:rPr>
          <w:rFonts w:ascii="Calibri-Bold" w:hAnsi="Calibri-Bold" w:hint="eastAsia"/>
          <w:bCs/>
          <w:color w:val="000000"/>
        </w:rPr>
        <w:t>p</w:t>
      </w:r>
      <w:r>
        <w:rPr>
          <w:rFonts w:ascii="Calibri-Bold" w:hAnsi="Calibri-Bold"/>
          <w:bCs/>
          <w:color w:val="000000"/>
        </w:rPr>
        <w:t xml:space="preserve">ćine Starigrad su sljedeći: </w:t>
      </w:r>
    </w:p>
    <w:p w14:paraId="2E7AC212" w14:textId="77777777" w:rsidR="00C11CC1" w:rsidRDefault="00C11CC1" w:rsidP="00C11CC1">
      <w:pPr>
        <w:rPr>
          <w:rFonts w:ascii="Calibri-Bold" w:hAnsi="Calibri-Bold" w:hint="eastAsia"/>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2362"/>
        <w:gridCol w:w="2367"/>
        <w:gridCol w:w="2366"/>
      </w:tblGrid>
      <w:tr w:rsidR="00C11CC1" w:rsidRPr="00D939D6" w14:paraId="7332B3C4" w14:textId="77777777" w:rsidTr="00862B88">
        <w:tc>
          <w:tcPr>
            <w:tcW w:w="2361" w:type="dxa"/>
          </w:tcPr>
          <w:p w14:paraId="36740B06" w14:textId="77777777" w:rsidR="00C11CC1" w:rsidRPr="00D939D6" w:rsidRDefault="00C11CC1" w:rsidP="00862B88">
            <w:pPr>
              <w:rPr>
                <w:rFonts w:cs="Times New Roman"/>
              </w:rPr>
            </w:pPr>
            <w:r w:rsidRPr="00D939D6">
              <w:rPr>
                <w:rFonts w:cs="Times New Roman"/>
              </w:rPr>
              <w:t>TKO?</w:t>
            </w:r>
          </w:p>
        </w:tc>
        <w:tc>
          <w:tcPr>
            <w:tcW w:w="2362" w:type="dxa"/>
          </w:tcPr>
          <w:p w14:paraId="1CD7C0E5" w14:textId="77777777" w:rsidR="00C11CC1" w:rsidRPr="00D939D6" w:rsidRDefault="00C11CC1" w:rsidP="00862B88">
            <w:pPr>
              <w:rPr>
                <w:rFonts w:cs="Times New Roman"/>
              </w:rPr>
            </w:pPr>
            <w:r w:rsidRPr="00D939D6">
              <w:rPr>
                <w:rFonts w:cs="Times New Roman"/>
              </w:rPr>
              <w:t>KOME?</w:t>
            </w:r>
          </w:p>
        </w:tc>
        <w:tc>
          <w:tcPr>
            <w:tcW w:w="2367" w:type="dxa"/>
          </w:tcPr>
          <w:p w14:paraId="1C0FD142" w14:textId="77777777" w:rsidR="00C11CC1" w:rsidRPr="00D939D6" w:rsidRDefault="00C11CC1" w:rsidP="00862B88">
            <w:pPr>
              <w:rPr>
                <w:rFonts w:cs="Times New Roman"/>
              </w:rPr>
            </w:pPr>
            <w:r w:rsidRPr="00D939D6">
              <w:rPr>
                <w:rFonts w:cs="Times New Roman"/>
              </w:rPr>
              <w:t>PREPORUČENI ROK</w:t>
            </w:r>
          </w:p>
        </w:tc>
        <w:tc>
          <w:tcPr>
            <w:tcW w:w="2366" w:type="dxa"/>
          </w:tcPr>
          <w:p w14:paraId="25DB9011" w14:textId="77777777" w:rsidR="00C11CC1" w:rsidRPr="00D939D6" w:rsidRDefault="00C11CC1" w:rsidP="00862B88">
            <w:pPr>
              <w:rPr>
                <w:rFonts w:cs="Times New Roman"/>
              </w:rPr>
            </w:pPr>
            <w:r w:rsidRPr="00D939D6">
              <w:rPr>
                <w:rFonts w:cs="Times New Roman"/>
              </w:rPr>
              <w:t>NAPOMENA</w:t>
            </w:r>
          </w:p>
        </w:tc>
      </w:tr>
      <w:tr w:rsidR="00C11CC1" w:rsidRPr="00D939D6" w14:paraId="769BDA47" w14:textId="77777777" w:rsidTr="00862B88">
        <w:trPr>
          <w:trHeight w:val="1094"/>
        </w:trPr>
        <w:tc>
          <w:tcPr>
            <w:tcW w:w="2361" w:type="dxa"/>
            <w:vAlign w:val="center"/>
          </w:tcPr>
          <w:p w14:paraId="7B274D00" w14:textId="77777777" w:rsidR="00C11CC1" w:rsidRPr="00D939D6" w:rsidRDefault="00C11CC1" w:rsidP="00862B88">
            <w:pPr>
              <w:jc w:val="left"/>
              <w:rPr>
                <w:rFonts w:cs="Times New Roman"/>
              </w:rPr>
            </w:pPr>
            <w:r w:rsidRPr="00D939D6">
              <w:rPr>
                <w:rFonts w:cs="Times New Roman"/>
              </w:rPr>
              <w:t>Ravnateljica dječjeg vrtića</w:t>
            </w:r>
          </w:p>
        </w:tc>
        <w:tc>
          <w:tcPr>
            <w:tcW w:w="2362" w:type="dxa"/>
            <w:vAlign w:val="center"/>
          </w:tcPr>
          <w:p w14:paraId="2DC2014C" w14:textId="77777777" w:rsidR="00C11CC1" w:rsidRPr="00D939D6" w:rsidRDefault="00C11CC1" w:rsidP="00862B88">
            <w:pPr>
              <w:jc w:val="left"/>
              <w:rPr>
                <w:rFonts w:cs="Times New Roman"/>
              </w:rPr>
            </w:pPr>
            <w:r w:rsidRPr="00D939D6">
              <w:rPr>
                <w:rFonts w:cs="Times New Roman"/>
              </w:rPr>
              <w:t>Upravnom vijeću dječjeg vrtića</w:t>
            </w:r>
          </w:p>
        </w:tc>
        <w:tc>
          <w:tcPr>
            <w:tcW w:w="2367" w:type="dxa"/>
            <w:vMerge w:val="restart"/>
            <w:vAlign w:val="center"/>
          </w:tcPr>
          <w:p w14:paraId="06B883AD" w14:textId="1E0688D8" w:rsidR="00C11CC1" w:rsidRPr="00D939D6" w:rsidRDefault="00F704D2" w:rsidP="00862B88">
            <w:pPr>
              <w:jc w:val="left"/>
              <w:rPr>
                <w:rFonts w:cs="Times New Roman"/>
              </w:rPr>
            </w:pPr>
            <w:r>
              <w:rPr>
                <w:rFonts w:cs="Times New Roman"/>
              </w:rPr>
              <w:t>31</w:t>
            </w:r>
            <w:r w:rsidR="00C11CC1" w:rsidRPr="00D939D6">
              <w:rPr>
                <w:rFonts w:cs="Times New Roman"/>
              </w:rPr>
              <w:t>.</w:t>
            </w:r>
            <w:r w:rsidR="00C11CC1">
              <w:rPr>
                <w:rFonts w:cs="Times New Roman"/>
              </w:rPr>
              <w:t xml:space="preserve"> </w:t>
            </w:r>
            <w:r>
              <w:rPr>
                <w:rFonts w:cs="Times New Roman"/>
              </w:rPr>
              <w:t>listopada</w:t>
            </w:r>
            <w:r w:rsidR="00C11CC1" w:rsidRPr="00D939D6">
              <w:rPr>
                <w:rFonts w:cs="Times New Roman"/>
              </w:rPr>
              <w:t xml:space="preserve"> 202</w:t>
            </w:r>
            <w:r>
              <w:rPr>
                <w:rFonts w:cs="Times New Roman"/>
              </w:rPr>
              <w:t>5</w:t>
            </w:r>
            <w:r w:rsidR="00C11CC1" w:rsidRPr="00D939D6">
              <w:rPr>
                <w:rFonts w:cs="Times New Roman"/>
              </w:rPr>
              <w:t>.</w:t>
            </w:r>
          </w:p>
          <w:p w14:paraId="6FA026C3" w14:textId="77777777" w:rsidR="00C11CC1" w:rsidRPr="00D939D6" w:rsidRDefault="00C11CC1" w:rsidP="00862B88">
            <w:pPr>
              <w:rPr>
                <w:rFonts w:cs="Times New Roman"/>
              </w:rPr>
            </w:pPr>
          </w:p>
        </w:tc>
        <w:tc>
          <w:tcPr>
            <w:tcW w:w="2366" w:type="dxa"/>
            <w:vMerge w:val="restart"/>
          </w:tcPr>
          <w:p w14:paraId="6DFBF967" w14:textId="77777777" w:rsidR="00C11CC1" w:rsidRPr="00D939D6" w:rsidRDefault="00C11CC1" w:rsidP="00862B88">
            <w:pPr>
              <w:jc w:val="left"/>
              <w:rPr>
                <w:rFonts w:cs="Times New Roman"/>
              </w:rPr>
            </w:pPr>
            <w:r w:rsidRPr="00D939D6">
              <w:rPr>
                <w:rFonts w:cs="Times New Roman"/>
              </w:rPr>
              <w:t xml:space="preserve">prije dostave prijedloga financijskog plana </w:t>
            </w:r>
            <w:r>
              <w:rPr>
                <w:rFonts w:cs="Times New Roman"/>
              </w:rPr>
              <w:t xml:space="preserve">Općini </w:t>
            </w:r>
            <w:proofErr w:type="spellStart"/>
            <w:r>
              <w:rPr>
                <w:rFonts w:cs="Times New Roman"/>
              </w:rPr>
              <w:t>Starigrad</w:t>
            </w:r>
            <w:r w:rsidRPr="00D939D6">
              <w:rPr>
                <w:rFonts w:cs="Times New Roman"/>
              </w:rPr>
              <w:t>,čelnik</w:t>
            </w:r>
            <w:proofErr w:type="spellEnd"/>
            <w:r w:rsidRPr="00D939D6">
              <w:rPr>
                <w:rFonts w:cs="Times New Roman"/>
              </w:rPr>
              <w:t xml:space="preserve"> proračunskog korisnika obvezan je prijedlog financijskog plana uputiti upravljačkom tijelu na usvajanje</w:t>
            </w:r>
          </w:p>
        </w:tc>
      </w:tr>
      <w:tr w:rsidR="00C11CC1" w:rsidRPr="00D939D6" w14:paraId="4B2E6294" w14:textId="77777777" w:rsidTr="00862B88">
        <w:tc>
          <w:tcPr>
            <w:tcW w:w="2361" w:type="dxa"/>
          </w:tcPr>
          <w:p w14:paraId="5411CB5B" w14:textId="77777777" w:rsidR="00C11CC1" w:rsidRDefault="00C11CC1" w:rsidP="00862B88">
            <w:pPr>
              <w:rPr>
                <w:rFonts w:cs="Times New Roman"/>
              </w:rPr>
            </w:pPr>
          </w:p>
          <w:p w14:paraId="49B33BBF" w14:textId="77777777" w:rsidR="00C11CC1" w:rsidRDefault="00C11CC1" w:rsidP="00862B88">
            <w:pPr>
              <w:jc w:val="left"/>
              <w:rPr>
                <w:rFonts w:cs="Times New Roman"/>
              </w:rPr>
            </w:pPr>
          </w:p>
          <w:p w14:paraId="7C07F87B" w14:textId="0E22ADD6" w:rsidR="00C11CC1" w:rsidRPr="00D939D6" w:rsidRDefault="00C11CC1" w:rsidP="00862B88">
            <w:pPr>
              <w:jc w:val="left"/>
              <w:rPr>
                <w:rFonts w:cs="Times New Roman"/>
              </w:rPr>
            </w:pPr>
            <w:r>
              <w:rPr>
                <w:rFonts w:cs="Times New Roman"/>
              </w:rPr>
              <w:t>Proračunski kor</w:t>
            </w:r>
            <w:r w:rsidR="006965F7">
              <w:rPr>
                <w:rFonts w:cs="Times New Roman"/>
              </w:rPr>
              <w:t>i</w:t>
            </w:r>
            <w:r>
              <w:rPr>
                <w:rFonts w:cs="Times New Roman"/>
              </w:rPr>
              <w:t xml:space="preserve">snik </w:t>
            </w:r>
            <w:r w:rsidRPr="00D939D6">
              <w:rPr>
                <w:rFonts w:cs="Times New Roman"/>
              </w:rPr>
              <w:t xml:space="preserve">Dječji vrtić </w:t>
            </w:r>
          </w:p>
        </w:tc>
        <w:tc>
          <w:tcPr>
            <w:tcW w:w="2362" w:type="dxa"/>
          </w:tcPr>
          <w:p w14:paraId="58D48EAD" w14:textId="77777777" w:rsidR="00C11CC1" w:rsidRDefault="00C11CC1" w:rsidP="00862B88">
            <w:pPr>
              <w:rPr>
                <w:rFonts w:cs="Times New Roman"/>
              </w:rPr>
            </w:pPr>
          </w:p>
          <w:p w14:paraId="6D7276C2" w14:textId="77777777" w:rsidR="00C11CC1" w:rsidRDefault="00C11CC1" w:rsidP="00862B88">
            <w:pPr>
              <w:rPr>
                <w:rFonts w:cs="Times New Roman"/>
              </w:rPr>
            </w:pPr>
          </w:p>
          <w:p w14:paraId="5B42F09A" w14:textId="77777777" w:rsidR="00C11CC1" w:rsidRPr="00D939D6" w:rsidRDefault="00C11CC1" w:rsidP="00862B88">
            <w:pPr>
              <w:rPr>
                <w:rFonts w:cs="Times New Roman"/>
              </w:rPr>
            </w:pPr>
            <w:r w:rsidRPr="00D939D6">
              <w:rPr>
                <w:rFonts w:cs="Times New Roman"/>
              </w:rPr>
              <w:t>Jedinstvenom upravnom odjelu</w:t>
            </w:r>
          </w:p>
        </w:tc>
        <w:tc>
          <w:tcPr>
            <w:tcW w:w="2367" w:type="dxa"/>
            <w:vMerge/>
          </w:tcPr>
          <w:p w14:paraId="3215352A" w14:textId="77777777" w:rsidR="00C11CC1" w:rsidRPr="00D939D6" w:rsidRDefault="00C11CC1" w:rsidP="00862B88">
            <w:pPr>
              <w:rPr>
                <w:rFonts w:cs="Times New Roman"/>
              </w:rPr>
            </w:pPr>
          </w:p>
        </w:tc>
        <w:tc>
          <w:tcPr>
            <w:tcW w:w="2366" w:type="dxa"/>
            <w:vMerge/>
          </w:tcPr>
          <w:p w14:paraId="72A55157" w14:textId="77777777" w:rsidR="00C11CC1" w:rsidRPr="00D939D6" w:rsidRDefault="00C11CC1" w:rsidP="00862B88">
            <w:pPr>
              <w:rPr>
                <w:rFonts w:cs="Times New Roman"/>
              </w:rPr>
            </w:pPr>
          </w:p>
        </w:tc>
      </w:tr>
      <w:tr w:rsidR="00C11CC1" w:rsidRPr="00D939D6" w14:paraId="3A762C4E" w14:textId="77777777" w:rsidTr="00862B88">
        <w:tc>
          <w:tcPr>
            <w:tcW w:w="2361" w:type="dxa"/>
          </w:tcPr>
          <w:p w14:paraId="4D8897DD" w14:textId="77777777" w:rsidR="00C11CC1" w:rsidRPr="00D939D6" w:rsidRDefault="00C11CC1" w:rsidP="00862B88">
            <w:pPr>
              <w:jc w:val="left"/>
              <w:rPr>
                <w:rFonts w:cs="Times New Roman"/>
              </w:rPr>
            </w:pPr>
            <w:r w:rsidRPr="00D939D6">
              <w:rPr>
                <w:rFonts w:cs="Times New Roman"/>
              </w:rPr>
              <w:t>Jedinstveni upravni odjel</w:t>
            </w:r>
          </w:p>
        </w:tc>
        <w:tc>
          <w:tcPr>
            <w:tcW w:w="2362" w:type="dxa"/>
          </w:tcPr>
          <w:p w14:paraId="0C36D9CC" w14:textId="77777777" w:rsidR="00C11CC1" w:rsidRDefault="00C11CC1" w:rsidP="00862B88">
            <w:pPr>
              <w:rPr>
                <w:rFonts w:cs="Times New Roman"/>
              </w:rPr>
            </w:pPr>
          </w:p>
          <w:p w14:paraId="2F4E18CA" w14:textId="77777777" w:rsidR="00C11CC1" w:rsidRPr="00D939D6" w:rsidRDefault="00C11CC1" w:rsidP="00862B88">
            <w:pPr>
              <w:rPr>
                <w:rFonts w:cs="Times New Roman"/>
              </w:rPr>
            </w:pPr>
            <w:r w:rsidRPr="00D939D6">
              <w:rPr>
                <w:rFonts w:cs="Times New Roman"/>
              </w:rPr>
              <w:t>Općinskom načelniku</w:t>
            </w:r>
          </w:p>
        </w:tc>
        <w:tc>
          <w:tcPr>
            <w:tcW w:w="2367" w:type="dxa"/>
          </w:tcPr>
          <w:p w14:paraId="6219C144" w14:textId="77777777" w:rsidR="00C11CC1" w:rsidRDefault="00C11CC1" w:rsidP="00862B88">
            <w:pPr>
              <w:rPr>
                <w:rFonts w:cs="Times New Roman"/>
              </w:rPr>
            </w:pPr>
          </w:p>
          <w:p w14:paraId="11183D46" w14:textId="529E4E4B" w:rsidR="00C11CC1" w:rsidRPr="00D939D6" w:rsidRDefault="00EE4773" w:rsidP="00C11CC1">
            <w:pPr>
              <w:rPr>
                <w:rFonts w:cs="Times New Roman"/>
              </w:rPr>
            </w:pPr>
            <w:r>
              <w:rPr>
                <w:rFonts w:cs="Times New Roman"/>
              </w:rPr>
              <w:t>0</w:t>
            </w:r>
            <w:r w:rsidR="006675DE">
              <w:rPr>
                <w:rFonts w:cs="Times New Roman"/>
              </w:rPr>
              <w:t>7</w:t>
            </w:r>
            <w:r w:rsidR="00C11CC1" w:rsidRPr="00D939D6">
              <w:rPr>
                <w:rFonts w:cs="Times New Roman"/>
              </w:rPr>
              <w:t>.</w:t>
            </w:r>
            <w:r w:rsidR="00C11CC1">
              <w:rPr>
                <w:rFonts w:cs="Times New Roman"/>
              </w:rPr>
              <w:t xml:space="preserve"> </w:t>
            </w:r>
            <w:r>
              <w:rPr>
                <w:rFonts w:cs="Times New Roman"/>
              </w:rPr>
              <w:t>studenog</w:t>
            </w:r>
            <w:r w:rsidR="00C11CC1" w:rsidRPr="00D939D6">
              <w:rPr>
                <w:rFonts w:cs="Times New Roman"/>
              </w:rPr>
              <w:t xml:space="preserve"> 202</w:t>
            </w:r>
            <w:r w:rsidR="006675DE">
              <w:rPr>
                <w:rFonts w:cs="Times New Roman"/>
              </w:rPr>
              <w:t>5</w:t>
            </w:r>
            <w:r w:rsidR="00C11CC1" w:rsidRPr="00D939D6">
              <w:rPr>
                <w:rFonts w:cs="Times New Roman"/>
              </w:rPr>
              <w:t>.</w:t>
            </w:r>
          </w:p>
        </w:tc>
        <w:tc>
          <w:tcPr>
            <w:tcW w:w="2366" w:type="dxa"/>
          </w:tcPr>
          <w:p w14:paraId="69F36BA9" w14:textId="77777777" w:rsidR="00C11CC1" w:rsidRPr="00D939D6" w:rsidRDefault="00C11CC1" w:rsidP="00862B88">
            <w:pPr>
              <w:rPr>
                <w:rFonts w:cs="Times New Roman"/>
              </w:rPr>
            </w:pPr>
            <w:r w:rsidRPr="00D939D6">
              <w:rPr>
                <w:rFonts w:cs="Times New Roman"/>
              </w:rPr>
              <w:t>JUO izrađuje nacrt prora</w:t>
            </w:r>
            <w:r>
              <w:rPr>
                <w:rFonts w:cs="Times New Roman"/>
              </w:rPr>
              <w:t>čuna te ga dostavlja načelniku</w:t>
            </w:r>
          </w:p>
        </w:tc>
      </w:tr>
      <w:tr w:rsidR="00C11CC1" w:rsidRPr="00D939D6" w14:paraId="00D63FD1" w14:textId="77777777" w:rsidTr="00862B88">
        <w:tc>
          <w:tcPr>
            <w:tcW w:w="2361" w:type="dxa"/>
          </w:tcPr>
          <w:p w14:paraId="628E741E" w14:textId="77777777" w:rsidR="00C11CC1" w:rsidRDefault="00C11CC1" w:rsidP="00862B88">
            <w:pPr>
              <w:rPr>
                <w:rFonts w:cs="Times New Roman"/>
              </w:rPr>
            </w:pPr>
          </w:p>
          <w:p w14:paraId="0E097D31" w14:textId="77777777" w:rsidR="00C11CC1" w:rsidRDefault="00C11CC1" w:rsidP="00862B88">
            <w:pPr>
              <w:rPr>
                <w:rFonts w:cs="Times New Roman"/>
              </w:rPr>
            </w:pPr>
          </w:p>
          <w:p w14:paraId="1D146F8F" w14:textId="77777777" w:rsidR="00C11CC1" w:rsidRPr="00D939D6" w:rsidRDefault="00C11CC1" w:rsidP="00862B88">
            <w:pPr>
              <w:rPr>
                <w:rFonts w:cs="Times New Roman"/>
              </w:rPr>
            </w:pPr>
            <w:r w:rsidRPr="00D939D6">
              <w:rPr>
                <w:rFonts w:cs="Times New Roman"/>
              </w:rPr>
              <w:t>Općinski načelnik</w:t>
            </w:r>
          </w:p>
        </w:tc>
        <w:tc>
          <w:tcPr>
            <w:tcW w:w="2362" w:type="dxa"/>
          </w:tcPr>
          <w:p w14:paraId="3408819D" w14:textId="77777777" w:rsidR="00C11CC1" w:rsidRDefault="00C11CC1" w:rsidP="00862B88">
            <w:pPr>
              <w:rPr>
                <w:rFonts w:cs="Times New Roman"/>
              </w:rPr>
            </w:pPr>
          </w:p>
          <w:p w14:paraId="45613482" w14:textId="77777777" w:rsidR="00C11CC1" w:rsidRDefault="00C11CC1" w:rsidP="00862B88">
            <w:pPr>
              <w:rPr>
                <w:rFonts w:cs="Times New Roman"/>
              </w:rPr>
            </w:pPr>
          </w:p>
          <w:p w14:paraId="3D283C37" w14:textId="77777777" w:rsidR="00C11CC1" w:rsidRPr="00D939D6" w:rsidRDefault="00C11CC1" w:rsidP="00862B88">
            <w:pPr>
              <w:rPr>
                <w:rFonts w:cs="Times New Roman"/>
              </w:rPr>
            </w:pPr>
            <w:r w:rsidRPr="00D939D6">
              <w:rPr>
                <w:rFonts w:cs="Times New Roman"/>
              </w:rPr>
              <w:t>Općinskom vijeću</w:t>
            </w:r>
          </w:p>
        </w:tc>
        <w:tc>
          <w:tcPr>
            <w:tcW w:w="2367" w:type="dxa"/>
          </w:tcPr>
          <w:p w14:paraId="4B9ACD6A" w14:textId="77777777" w:rsidR="00C11CC1" w:rsidRDefault="00C11CC1" w:rsidP="00862B88">
            <w:pPr>
              <w:rPr>
                <w:rFonts w:cs="Times New Roman"/>
              </w:rPr>
            </w:pPr>
          </w:p>
          <w:p w14:paraId="0CC747A2" w14:textId="77777777" w:rsidR="00C11CC1" w:rsidRDefault="00C11CC1" w:rsidP="00862B88">
            <w:pPr>
              <w:rPr>
                <w:rFonts w:cs="Times New Roman"/>
              </w:rPr>
            </w:pPr>
          </w:p>
          <w:p w14:paraId="5413C973" w14:textId="30747153" w:rsidR="00C11CC1" w:rsidRPr="00D939D6" w:rsidRDefault="00C11CC1" w:rsidP="00C11CC1">
            <w:pPr>
              <w:rPr>
                <w:rFonts w:cs="Times New Roman"/>
              </w:rPr>
            </w:pPr>
            <w:r w:rsidRPr="00D939D6">
              <w:rPr>
                <w:rFonts w:cs="Times New Roman"/>
              </w:rPr>
              <w:t>1</w:t>
            </w:r>
            <w:r w:rsidR="00137A45">
              <w:rPr>
                <w:rFonts w:cs="Times New Roman"/>
              </w:rPr>
              <w:t>4</w:t>
            </w:r>
            <w:r w:rsidRPr="00D939D6">
              <w:rPr>
                <w:rFonts w:cs="Times New Roman"/>
              </w:rPr>
              <w:t>.</w:t>
            </w:r>
            <w:r>
              <w:rPr>
                <w:rFonts w:cs="Times New Roman"/>
              </w:rPr>
              <w:t xml:space="preserve"> </w:t>
            </w:r>
            <w:r w:rsidRPr="00D939D6">
              <w:rPr>
                <w:rFonts w:cs="Times New Roman"/>
              </w:rPr>
              <w:t>studenog 202</w:t>
            </w:r>
            <w:r w:rsidR="00137A45">
              <w:rPr>
                <w:rFonts w:cs="Times New Roman"/>
              </w:rPr>
              <w:t>5</w:t>
            </w:r>
            <w:r w:rsidRPr="00D939D6">
              <w:rPr>
                <w:rFonts w:cs="Times New Roman"/>
              </w:rPr>
              <w:t>.</w:t>
            </w:r>
          </w:p>
        </w:tc>
        <w:tc>
          <w:tcPr>
            <w:tcW w:w="2366" w:type="dxa"/>
          </w:tcPr>
          <w:p w14:paraId="16241214" w14:textId="77777777" w:rsidR="00C11CC1" w:rsidRPr="00D939D6" w:rsidRDefault="00C11CC1" w:rsidP="00862B88">
            <w:pPr>
              <w:jc w:val="left"/>
              <w:rPr>
                <w:rFonts w:cs="Times New Roman"/>
              </w:rPr>
            </w:pPr>
            <w:r w:rsidRPr="00D939D6">
              <w:rPr>
                <w:rFonts w:cs="Times New Roman"/>
              </w:rPr>
              <w:t>Načelnik utvrđuje prijedlog proračuna i podnosi ga predstavničkom tijelu na donošenje</w:t>
            </w:r>
          </w:p>
        </w:tc>
      </w:tr>
      <w:tr w:rsidR="00C11CC1" w:rsidRPr="00D939D6" w14:paraId="1CC7DA8F" w14:textId="77777777" w:rsidTr="00862B88">
        <w:tc>
          <w:tcPr>
            <w:tcW w:w="2361" w:type="dxa"/>
          </w:tcPr>
          <w:p w14:paraId="365AF165" w14:textId="77777777" w:rsidR="00C11CC1" w:rsidRDefault="00C11CC1" w:rsidP="00862B88">
            <w:pPr>
              <w:rPr>
                <w:rFonts w:cs="Times New Roman"/>
              </w:rPr>
            </w:pPr>
          </w:p>
          <w:p w14:paraId="59EB7992" w14:textId="77777777" w:rsidR="00C11CC1" w:rsidRDefault="00C11CC1" w:rsidP="00862B88">
            <w:pPr>
              <w:rPr>
                <w:rFonts w:cs="Times New Roman"/>
              </w:rPr>
            </w:pPr>
          </w:p>
          <w:p w14:paraId="39A3BF17" w14:textId="77777777" w:rsidR="00C11CC1" w:rsidRDefault="00C11CC1" w:rsidP="00862B88">
            <w:pPr>
              <w:rPr>
                <w:rFonts w:cs="Times New Roman"/>
              </w:rPr>
            </w:pPr>
          </w:p>
          <w:p w14:paraId="59E6A228" w14:textId="77777777" w:rsidR="00C11CC1" w:rsidRDefault="00C11CC1" w:rsidP="00862B88">
            <w:pPr>
              <w:rPr>
                <w:rFonts w:cs="Times New Roman"/>
              </w:rPr>
            </w:pPr>
          </w:p>
          <w:p w14:paraId="7FE7B956" w14:textId="77777777" w:rsidR="00C11CC1" w:rsidRPr="00D939D6" w:rsidRDefault="00C11CC1" w:rsidP="00862B88">
            <w:pPr>
              <w:rPr>
                <w:rFonts w:cs="Times New Roman"/>
              </w:rPr>
            </w:pPr>
            <w:r w:rsidRPr="00D939D6">
              <w:rPr>
                <w:rFonts w:cs="Times New Roman"/>
              </w:rPr>
              <w:t>Općinsko vijeće</w:t>
            </w:r>
          </w:p>
        </w:tc>
        <w:tc>
          <w:tcPr>
            <w:tcW w:w="2362" w:type="dxa"/>
          </w:tcPr>
          <w:p w14:paraId="77BE0C27" w14:textId="77777777" w:rsidR="00C11CC1" w:rsidRPr="00D939D6" w:rsidRDefault="00C11CC1" w:rsidP="00862B88">
            <w:pPr>
              <w:rPr>
                <w:rFonts w:cs="Times New Roman"/>
              </w:rPr>
            </w:pPr>
          </w:p>
        </w:tc>
        <w:tc>
          <w:tcPr>
            <w:tcW w:w="2367" w:type="dxa"/>
          </w:tcPr>
          <w:p w14:paraId="50E5345F" w14:textId="77777777" w:rsidR="00C11CC1" w:rsidRDefault="00C11CC1" w:rsidP="00862B88">
            <w:pPr>
              <w:rPr>
                <w:rFonts w:cs="Times New Roman"/>
              </w:rPr>
            </w:pPr>
          </w:p>
          <w:p w14:paraId="0416F243" w14:textId="77777777" w:rsidR="00C11CC1" w:rsidRDefault="00C11CC1" w:rsidP="00862B88">
            <w:pPr>
              <w:rPr>
                <w:rFonts w:cs="Times New Roman"/>
              </w:rPr>
            </w:pPr>
          </w:p>
          <w:p w14:paraId="7F58AE55" w14:textId="77777777" w:rsidR="00C11CC1" w:rsidRDefault="00C11CC1" w:rsidP="00862B88">
            <w:pPr>
              <w:rPr>
                <w:rFonts w:cs="Times New Roman"/>
              </w:rPr>
            </w:pPr>
          </w:p>
          <w:p w14:paraId="0824E35A" w14:textId="77777777" w:rsidR="00C11CC1" w:rsidRDefault="00C11CC1" w:rsidP="00862B88">
            <w:pPr>
              <w:rPr>
                <w:rFonts w:cs="Times New Roman"/>
              </w:rPr>
            </w:pPr>
          </w:p>
          <w:p w14:paraId="0A32998A" w14:textId="77777777" w:rsidR="00C11CC1" w:rsidRDefault="00C11CC1" w:rsidP="00862B88">
            <w:pPr>
              <w:rPr>
                <w:rFonts w:cs="Times New Roman"/>
              </w:rPr>
            </w:pPr>
          </w:p>
          <w:p w14:paraId="5238EC31" w14:textId="2C75D3AD" w:rsidR="00C11CC1" w:rsidRPr="00D939D6" w:rsidRDefault="004B0FB7" w:rsidP="00C11CC1">
            <w:pPr>
              <w:rPr>
                <w:rFonts w:cs="Times New Roman"/>
              </w:rPr>
            </w:pPr>
            <w:r>
              <w:rPr>
                <w:rFonts w:cs="Times New Roman"/>
              </w:rPr>
              <w:lastRenderedPageBreak/>
              <w:t xml:space="preserve">Do kraja </w:t>
            </w:r>
            <w:r w:rsidR="00C11CC1" w:rsidRPr="00D939D6">
              <w:rPr>
                <w:rFonts w:cs="Times New Roman"/>
              </w:rPr>
              <w:t>tekuće 202</w:t>
            </w:r>
            <w:r w:rsidR="00210ED9">
              <w:rPr>
                <w:rFonts w:cs="Times New Roman"/>
              </w:rPr>
              <w:t>5</w:t>
            </w:r>
            <w:r w:rsidR="00C11CC1" w:rsidRPr="00D939D6">
              <w:rPr>
                <w:rFonts w:cs="Times New Roman"/>
              </w:rPr>
              <w:t>.</w:t>
            </w:r>
          </w:p>
        </w:tc>
        <w:tc>
          <w:tcPr>
            <w:tcW w:w="2366" w:type="dxa"/>
          </w:tcPr>
          <w:p w14:paraId="6CCA0251" w14:textId="7D6B0092" w:rsidR="00C11CC1" w:rsidRPr="00D939D6" w:rsidRDefault="00C11CC1" w:rsidP="00C11CC1">
            <w:pPr>
              <w:jc w:val="left"/>
              <w:rPr>
                <w:rFonts w:cs="Times New Roman"/>
              </w:rPr>
            </w:pPr>
            <w:r w:rsidRPr="00D939D6">
              <w:rPr>
                <w:rFonts w:cs="Times New Roman"/>
              </w:rPr>
              <w:lastRenderedPageBreak/>
              <w:t>Predstavničko tijelo donosi proračun za 202</w:t>
            </w:r>
            <w:r w:rsidR="00AA6799">
              <w:rPr>
                <w:rFonts w:cs="Times New Roman"/>
              </w:rPr>
              <w:t>6</w:t>
            </w:r>
            <w:r w:rsidRPr="00D939D6">
              <w:rPr>
                <w:rFonts w:cs="Times New Roman"/>
              </w:rPr>
              <w:t>. godinu i projekcije za 202</w:t>
            </w:r>
            <w:r w:rsidR="00AA6799">
              <w:rPr>
                <w:rFonts w:cs="Times New Roman"/>
              </w:rPr>
              <w:t>7</w:t>
            </w:r>
            <w:r w:rsidRPr="00D939D6">
              <w:rPr>
                <w:rFonts w:cs="Times New Roman"/>
              </w:rPr>
              <w:t>. i 202</w:t>
            </w:r>
            <w:r w:rsidR="00AA6799">
              <w:rPr>
                <w:rFonts w:cs="Times New Roman"/>
              </w:rPr>
              <w:t>8</w:t>
            </w:r>
            <w:r w:rsidRPr="00D939D6">
              <w:rPr>
                <w:rFonts w:cs="Times New Roman"/>
              </w:rPr>
              <w:t xml:space="preserve">. godinu </w:t>
            </w:r>
            <w:r w:rsidR="00210ED9">
              <w:rPr>
                <w:rFonts w:cs="Times New Roman"/>
              </w:rPr>
              <w:t>do kraja</w:t>
            </w:r>
            <w:r w:rsidRPr="00D939D6">
              <w:rPr>
                <w:rFonts w:cs="Times New Roman"/>
              </w:rPr>
              <w:t xml:space="preserve"> </w:t>
            </w:r>
            <w:r w:rsidRPr="00D939D6">
              <w:rPr>
                <w:rFonts w:cs="Times New Roman"/>
              </w:rPr>
              <w:lastRenderedPageBreak/>
              <w:t>tekuće 202</w:t>
            </w:r>
            <w:r w:rsidR="00210ED9">
              <w:rPr>
                <w:rFonts w:cs="Times New Roman"/>
              </w:rPr>
              <w:t>5</w:t>
            </w:r>
            <w:r w:rsidRPr="00D939D6">
              <w:rPr>
                <w:rFonts w:cs="Times New Roman"/>
              </w:rPr>
              <w:t>. godine, u roku koji omogućuje primjenu proračuna od 1. siječnja 20</w:t>
            </w:r>
            <w:r w:rsidR="00210ED9">
              <w:rPr>
                <w:rFonts w:cs="Times New Roman"/>
              </w:rPr>
              <w:t>26</w:t>
            </w:r>
            <w:r w:rsidRPr="00D939D6">
              <w:rPr>
                <w:rFonts w:cs="Times New Roman"/>
              </w:rPr>
              <w:t>.</w:t>
            </w:r>
          </w:p>
        </w:tc>
      </w:tr>
    </w:tbl>
    <w:p w14:paraId="3A18609D" w14:textId="77777777" w:rsidR="00C11CC1" w:rsidRDefault="00C11CC1" w:rsidP="00C11CC1">
      <w:pPr>
        <w:rPr>
          <w:rFonts w:ascii="Calibri-Bold" w:hAnsi="Calibri-Bold" w:hint="eastAsia"/>
          <w:bCs/>
          <w:color w:val="000000"/>
        </w:rPr>
      </w:pPr>
    </w:p>
    <w:p w14:paraId="543F3782" w14:textId="77777777" w:rsidR="00C11CC1" w:rsidRPr="00D939D6" w:rsidRDefault="00C11CC1" w:rsidP="00C11CC1">
      <w:pPr>
        <w:rPr>
          <w:rFonts w:cs="Times New Roman"/>
          <w:bCs/>
          <w:color w:val="000000"/>
        </w:rPr>
      </w:pPr>
      <w:r w:rsidRPr="00D939D6">
        <w:rPr>
          <w:rFonts w:cs="Times New Roman"/>
          <w:bCs/>
          <w:color w:val="000000"/>
        </w:rPr>
        <w:t xml:space="preserve">U slučaju da postoje razlike u financijskom planu proračunskog korisnika </w:t>
      </w:r>
      <w:r w:rsidRPr="00D939D6">
        <w:rPr>
          <w:rFonts w:cs="Times New Roman"/>
          <w:color w:val="000000"/>
        </w:rPr>
        <w:t>sadržanom u</w:t>
      </w:r>
      <w:r w:rsidRPr="00D939D6">
        <w:rPr>
          <w:rFonts w:cs="Times New Roman"/>
          <w:color w:val="000000"/>
        </w:rPr>
        <w:br/>
        <w:t>proračunu, kojeg je donijelo predstavničko tijelo, u odnosu na već usvojeni prijedlog</w:t>
      </w:r>
      <w:r w:rsidRPr="00D939D6">
        <w:rPr>
          <w:rFonts w:cs="Times New Roman"/>
          <w:color w:val="000000"/>
        </w:rPr>
        <w:br/>
        <w:t xml:space="preserve">financijskog plana od strane upravljačkog tijela, </w:t>
      </w:r>
      <w:r w:rsidRPr="00D939D6">
        <w:rPr>
          <w:rFonts w:cs="Times New Roman"/>
          <w:bCs/>
          <w:color w:val="000000"/>
        </w:rPr>
        <w:t xml:space="preserve">tada je </w:t>
      </w:r>
      <w:r>
        <w:rPr>
          <w:rFonts w:cs="Times New Roman"/>
          <w:bCs/>
          <w:color w:val="000000"/>
        </w:rPr>
        <w:t>Jedinstveni upravni odjel dužan</w:t>
      </w:r>
      <w:r w:rsidRPr="00D939D6">
        <w:rPr>
          <w:rFonts w:cs="Times New Roman"/>
          <w:bCs/>
          <w:color w:val="000000"/>
        </w:rPr>
        <w:t xml:space="preserve"> obavijestiti proračunskog korisnika o</w:t>
      </w:r>
      <w:r>
        <w:rPr>
          <w:rFonts w:cs="Times New Roman"/>
          <w:bCs/>
          <w:color w:val="000000"/>
        </w:rPr>
        <w:t xml:space="preserve"> </w:t>
      </w:r>
      <w:r w:rsidRPr="00D939D6">
        <w:rPr>
          <w:rFonts w:cs="Times New Roman"/>
          <w:bCs/>
          <w:color w:val="000000"/>
        </w:rPr>
        <w:t>promjenama financijskog plana koji je sadržan u proračunu u odnosu na usvojeni prijedlog</w:t>
      </w:r>
      <w:r>
        <w:rPr>
          <w:rFonts w:cs="Times New Roman"/>
          <w:bCs/>
          <w:color w:val="000000"/>
        </w:rPr>
        <w:t xml:space="preserve"> </w:t>
      </w:r>
      <w:r w:rsidRPr="00D939D6">
        <w:rPr>
          <w:rFonts w:cs="Times New Roman"/>
          <w:bCs/>
          <w:color w:val="000000"/>
        </w:rPr>
        <w:t xml:space="preserve">financijskog plana. </w:t>
      </w:r>
      <w:r w:rsidRPr="00D939D6">
        <w:rPr>
          <w:rFonts w:cs="Times New Roman"/>
          <w:color w:val="000000"/>
        </w:rPr>
        <w:t>Ako dođe do navedene situacije, upravljačko tijelo usvaja financijski plan</w:t>
      </w:r>
      <w:r>
        <w:rPr>
          <w:rFonts w:cs="Times New Roman"/>
          <w:color w:val="000000"/>
        </w:rPr>
        <w:t xml:space="preserve"> </w:t>
      </w:r>
      <w:r w:rsidRPr="00D939D6">
        <w:rPr>
          <w:rFonts w:cs="Times New Roman"/>
          <w:color w:val="000000"/>
        </w:rPr>
        <w:t>koji je sadržan u proračunu kojeg je donijelo predstavničko tijelo.</w:t>
      </w:r>
    </w:p>
    <w:p w14:paraId="18415337" w14:textId="77777777" w:rsidR="00C11CC1" w:rsidRDefault="00C11CC1">
      <w:pPr>
        <w:rPr>
          <w:rFonts w:ascii="Calibri-Bold" w:hAnsi="Calibri-Bold" w:hint="eastAsia"/>
          <w:b/>
          <w:bCs/>
          <w:color w:val="000000"/>
        </w:rPr>
      </w:pPr>
    </w:p>
    <w:p w14:paraId="1D22286B" w14:textId="77777777" w:rsidR="00C11CC1" w:rsidRDefault="00C11CC1" w:rsidP="00C11CC1">
      <w:pPr>
        <w:rPr>
          <w:rFonts w:ascii="CIDFont+F2" w:hAnsi="CIDFont+F2" w:hint="eastAsia"/>
          <w:b/>
          <w:bCs/>
          <w:color w:val="000000"/>
        </w:rPr>
      </w:pPr>
      <w:r>
        <w:rPr>
          <w:rFonts w:ascii="Calibri-Bold" w:hAnsi="Calibri-Bold"/>
          <w:b/>
          <w:bCs/>
          <w:color w:val="000000"/>
        </w:rPr>
        <w:t xml:space="preserve">4.4. </w:t>
      </w:r>
      <w:r w:rsidRPr="00D171B5">
        <w:rPr>
          <w:rFonts w:ascii="CIDFont+F2" w:hAnsi="CIDFont+F2"/>
          <w:b/>
          <w:bCs/>
          <w:color w:val="000000"/>
        </w:rPr>
        <w:t>Sudjelovanje građana u procesu planiranja proračuna jedinica lokalne i područne</w:t>
      </w:r>
      <w:r w:rsidRPr="00D171B5">
        <w:rPr>
          <w:rFonts w:ascii="CIDFont+F2" w:hAnsi="CIDFont+F2"/>
          <w:b/>
          <w:bCs/>
          <w:color w:val="000000"/>
        </w:rPr>
        <w:br/>
        <w:t>(regionalne) samouprave</w:t>
      </w:r>
    </w:p>
    <w:p w14:paraId="427556A1" w14:textId="77777777" w:rsidR="00C11CC1" w:rsidRDefault="00C11CC1" w:rsidP="00C11CC1">
      <w:pPr>
        <w:rPr>
          <w:rFonts w:ascii="Calibri-Bold" w:hAnsi="Calibri-Bold" w:hint="eastAsia"/>
          <w:b/>
          <w:bCs/>
          <w:color w:val="000000"/>
        </w:rPr>
      </w:pPr>
    </w:p>
    <w:p w14:paraId="2A893C73" w14:textId="78034A0F" w:rsidR="00C11CC1" w:rsidRPr="00C11CC1" w:rsidRDefault="00C11CC1">
      <w:pPr>
        <w:rPr>
          <w:rFonts w:ascii="CIDFont+F3" w:hAnsi="CIDFont+F3" w:hint="eastAsia"/>
          <w:color w:val="000000"/>
        </w:rPr>
      </w:pPr>
      <w:r w:rsidRPr="00D171B5">
        <w:rPr>
          <w:rFonts w:ascii="CIDFont+F3" w:hAnsi="CIDFont+F3"/>
          <w:color w:val="000000"/>
        </w:rPr>
        <w:t>Kao i prijašnjih godina, jedinice lokalne i područne (regionalne) samouprave i njihovi</w:t>
      </w:r>
      <w:r w:rsidRPr="00D171B5">
        <w:rPr>
          <w:rFonts w:ascii="CIDFont+F3" w:hAnsi="CIDFont+F3"/>
          <w:color w:val="000000"/>
        </w:rPr>
        <w:br/>
        <w:t>proračunski korisnici, po usvajanju proračuna od strane predstavničkog tijela, proračune i</w:t>
      </w:r>
      <w:r w:rsidRPr="00D171B5">
        <w:rPr>
          <w:rFonts w:ascii="CIDFont+F3" w:hAnsi="CIDFont+F3"/>
          <w:color w:val="000000"/>
        </w:rPr>
        <w:br/>
        <w:t>financijske planove dužni su objaviti na svojim mrežnim stranicama. Prilikom izrade proračuna</w:t>
      </w:r>
      <w:r w:rsidRPr="00D171B5">
        <w:rPr>
          <w:rFonts w:ascii="CIDFont+F3" w:hAnsi="CIDFont+F3"/>
          <w:color w:val="000000"/>
        </w:rPr>
        <w:br/>
        <w:t>za razdoblje 202</w:t>
      </w:r>
      <w:r w:rsidR="00210335">
        <w:rPr>
          <w:rFonts w:ascii="CIDFont+F3" w:hAnsi="CIDFont+F3"/>
          <w:color w:val="000000"/>
        </w:rPr>
        <w:t>6</w:t>
      </w:r>
      <w:r w:rsidRPr="00D171B5">
        <w:rPr>
          <w:rFonts w:ascii="CIDFont+F3" w:hAnsi="CIDFont+F3"/>
          <w:color w:val="000000"/>
        </w:rPr>
        <w:t>. - 202</w:t>
      </w:r>
      <w:r w:rsidR="00210335">
        <w:rPr>
          <w:rFonts w:ascii="CIDFont+F3" w:hAnsi="CIDFont+F3"/>
          <w:color w:val="000000"/>
        </w:rPr>
        <w:t>8</w:t>
      </w:r>
      <w:r w:rsidRPr="00D171B5">
        <w:rPr>
          <w:rFonts w:ascii="CIDFont+F3" w:hAnsi="CIDFont+F3"/>
          <w:color w:val="000000"/>
        </w:rPr>
        <w:t>. jedinice lokalne i područne (regionalne) samouprave trebaju</w:t>
      </w:r>
      <w:r w:rsidRPr="00D171B5">
        <w:rPr>
          <w:rFonts w:ascii="CIDFont+F3" w:hAnsi="CIDFont+F3"/>
          <w:color w:val="000000"/>
        </w:rPr>
        <w:br/>
        <w:t>razmotriti komentare koje su zaprimile na usvojen i po usvajanju objavljen proračun za</w:t>
      </w:r>
      <w:r w:rsidRPr="00D171B5">
        <w:rPr>
          <w:rFonts w:ascii="CIDFont+F3" w:hAnsi="CIDFont+F3"/>
          <w:color w:val="000000"/>
        </w:rPr>
        <w:br/>
        <w:t>razdoblje 202</w:t>
      </w:r>
      <w:r w:rsidR="009815A5">
        <w:rPr>
          <w:rFonts w:ascii="CIDFont+F3" w:hAnsi="CIDFont+F3"/>
          <w:color w:val="000000"/>
        </w:rPr>
        <w:t>5</w:t>
      </w:r>
      <w:r w:rsidRPr="00D171B5">
        <w:rPr>
          <w:rFonts w:ascii="CIDFont+F3" w:hAnsi="CIDFont+F3"/>
          <w:color w:val="000000"/>
        </w:rPr>
        <w:t>. - 202</w:t>
      </w:r>
      <w:r w:rsidR="00B33818">
        <w:rPr>
          <w:rFonts w:ascii="CIDFont+F3" w:hAnsi="CIDFont+F3"/>
          <w:color w:val="000000"/>
        </w:rPr>
        <w:t>7</w:t>
      </w:r>
      <w:r w:rsidRPr="00D171B5">
        <w:rPr>
          <w:rFonts w:ascii="CIDFont+F3" w:hAnsi="CIDFont+F3"/>
          <w:color w:val="000000"/>
        </w:rPr>
        <w:t xml:space="preserve">. </w:t>
      </w:r>
    </w:p>
    <w:p w14:paraId="6DE0D912" w14:textId="77777777" w:rsidR="00A46BE3" w:rsidRDefault="00A46BE3">
      <w:pPr>
        <w:rPr>
          <w:rFonts w:ascii="Calibri-Bold" w:hAnsi="Calibri-Bold" w:hint="eastAsia"/>
          <w:b/>
          <w:bCs/>
          <w:color w:val="000000"/>
        </w:rPr>
      </w:pPr>
    </w:p>
    <w:p w14:paraId="65F48AD0" w14:textId="77777777" w:rsidR="00AA5CFA" w:rsidRDefault="00AA3213">
      <w:pPr>
        <w:rPr>
          <w:rFonts w:ascii="Calibri-Bold" w:hAnsi="Calibri-Bold" w:hint="eastAsia"/>
          <w:b/>
          <w:bCs/>
          <w:color w:val="000000"/>
        </w:rPr>
      </w:pPr>
      <w:r>
        <w:rPr>
          <w:rFonts w:ascii="Calibri-Bold" w:hAnsi="Calibri-Bold"/>
          <w:b/>
          <w:bCs/>
          <w:color w:val="000000"/>
        </w:rPr>
        <w:t>4</w:t>
      </w:r>
      <w:r w:rsidR="006C75B9">
        <w:rPr>
          <w:rFonts w:ascii="Calibri-Bold" w:hAnsi="Calibri-Bold"/>
          <w:b/>
          <w:bCs/>
          <w:color w:val="000000"/>
        </w:rPr>
        <w:t>.</w:t>
      </w:r>
      <w:r w:rsidR="00C11CC1">
        <w:rPr>
          <w:rFonts w:ascii="Calibri-Bold" w:hAnsi="Calibri-Bold"/>
          <w:b/>
          <w:bCs/>
          <w:color w:val="000000"/>
        </w:rPr>
        <w:t>5</w:t>
      </w:r>
      <w:r w:rsidR="006C75B9">
        <w:rPr>
          <w:rFonts w:ascii="Calibri-Bold" w:hAnsi="Calibri-Bold"/>
          <w:b/>
          <w:bCs/>
          <w:color w:val="000000"/>
        </w:rPr>
        <w:t>. Izmjene i dopune proračuna</w:t>
      </w:r>
    </w:p>
    <w:p w14:paraId="717E3064" w14:textId="77777777" w:rsidR="006C75B9" w:rsidRDefault="006C75B9">
      <w:pPr>
        <w:rPr>
          <w:rFonts w:ascii="Calibri-Bold" w:hAnsi="Calibri-Bold" w:hint="eastAsia"/>
          <w:b/>
          <w:bCs/>
          <w:color w:val="000000"/>
        </w:rPr>
      </w:pPr>
    </w:p>
    <w:p w14:paraId="11135C93" w14:textId="77777777" w:rsidR="007117EC" w:rsidRDefault="006C75B9">
      <w:pPr>
        <w:rPr>
          <w:rFonts w:cs="Times New Roman"/>
          <w:color w:val="000000"/>
        </w:rPr>
      </w:pPr>
      <w:r w:rsidRPr="006C75B9">
        <w:rPr>
          <w:rFonts w:cs="Times New Roman"/>
          <w:color w:val="000000"/>
        </w:rPr>
        <w:t xml:space="preserve">Izmjenama i dopunama proračuna </w:t>
      </w:r>
      <w:r w:rsidRPr="006C75B9">
        <w:rPr>
          <w:rFonts w:cs="Times New Roman"/>
          <w:bCs/>
          <w:color w:val="000000"/>
        </w:rPr>
        <w:t>mijenja se isključivo plan za tekuću proračunsku godinu.</w:t>
      </w:r>
      <w:r w:rsidRPr="006C75B9">
        <w:rPr>
          <w:rFonts w:cs="Times New Roman"/>
          <w:bCs/>
          <w:color w:val="000000"/>
        </w:rPr>
        <w:br/>
      </w:r>
      <w:r w:rsidRPr="006C75B9">
        <w:rPr>
          <w:rFonts w:cs="Times New Roman"/>
          <w:color w:val="000000"/>
        </w:rPr>
        <w:t>Na postupak donošenja izmjena i dopuna proračuna na odgovarajući se način primjenjuju</w:t>
      </w:r>
      <w:r w:rsidRPr="006C75B9">
        <w:rPr>
          <w:rFonts w:cs="Times New Roman"/>
          <w:color w:val="000000"/>
        </w:rPr>
        <w:br/>
        <w:t>odredbe Zakona o proračunu za postupak donošenja proračuna. Izmjene i dopune proračuna</w:t>
      </w:r>
      <w:r w:rsidRPr="006C75B9">
        <w:rPr>
          <w:rFonts w:cs="Times New Roman"/>
          <w:color w:val="000000"/>
        </w:rPr>
        <w:br/>
        <w:t>sastoje se od plana za tekuću proračunsku godinu i sadrže opći i posebni dio te obrazloženje</w:t>
      </w:r>
      <w:r w:rsidRPr="006C75B9">
        <w:rPr>
          <w:rFonts w:cs="Times New Roman"/>
          <w:color w:val="000000"/>
        </w:rPr>
        <w:br/>
        <w:t xml:space="preserve">izmjena i dopuna proračuna. Izmjenama i dopunama proračuna </w:t>
      </w:r>
      <w:r w:rsidRPr="006C75B9">
        <w:rPr>
          <w:rFonts w:cs="Times New Roman"/>
          <w:bCs/>
          <w:color w:val="000000"/>
        </w:rPr>
        <w:t xml:space="preserve">ne mogu se </w:t>
      </w:r>
      <w:r w:rsidRPr="006C75B9">
        <w:rPr>
          <w:rFonts w:cs="Times New Roman"/>
          <w:color w:val="000000"/>
        </w:rPr>
        <w:t>umanjiti rashodi</w:t>
      </w:r>
      <w:r w:rsidRPr="006C75B9">
        <w:rPr>
          <w:rFonts w:cs="Times New Roman"/>
          <w:color w:val="000000"/>
        </w:rPr>
        <w:br/>
        <w:t>i izdaci ispod razine izvršenja i preuzetih obveza po investicijskim projektima te preuzetih</w:t>
      </w:r>
      <w:r w:rsidRPr="006C75B9">
        <w:rPr>
          <w:rFonts w:cs="Times New Roman"/>
          <w:color w:val="000000"/>
        </w:rPr>
        <w:br/>
        <w:t>obveza iz ugovora koji zahtijevaju plaćanje u sljedećim godinama. Ostvareni namjenski prihodi</w:t>
      </w:r>
      <w:r w:rsidRPr="006C75B9">
        <w:rPr>
          <w:rFonts w:cs="Times New Roman"/>
          <w:color w:val="000000"/>
        </w:rPr>
        <w:br/>
        <w:t>i primici i ostvareni vlastiti prihodi te rashodi i izdaci izvršeni iznad iznosa utvrđenih u</w:t>
      </w:r>
      <w:r w:rsidRPr="006C75B9">
        <w:rPr>
          <w:rFonts w:cs="Times New Roman"/>
          <w:color w:val="000000"/>
        </w:rPr>
        <w:br/>
        <w:t xml:space="preserve">proračunu, izmjenama i dopunama proračuna </w:t>
      </w:r>
      <w:r w:rsidRPr="006C75B9">
        <w:rPr>
          <w:rFonts w:cs="Times New Roman"/>
          <w:bCs/>
          <w:color w:val="000000"/>
        </w:rPr>
        <w:t>moraju se planirati minimalno na razini</w:t>
      </w:r>
      <w:r w:rsidRPr="006C75B9">
        <w:rPr>
          <w:rFonts w:cs="Times New Roman"/>
          <w:bCs/>
          <w:color w:val="000000"/>
        </w:rPr>
        <w:br/>
        <w:t xml:space="preserve">ostvarenih prihoda i primitaka, odnosno izvršenih rashoda i izdataka. </w:t>
      </w:r>
      <w:r w:rsidRPr="006C75B9">
        <w:rPr>
          <w:rFonts w:cs="Times New Roman"/>
          <w:color w:val="000000"/>
        </w:rPr>
        <w:t>Uz svake izmjene i</w:t>
      </w:r>
      <w:r w:rsidRPr="006C75B9">
        <w:rPr>
          <w:rFonts w:cs="Times New Roman"/>
          <w:color w:val="000000"/>
        </w:rPr>
        <w:br/>
        <w:t>dopune proračuna obvezno je izraditi obrazloženja izmjena i dopuna proračuna (općeg i</w:t>
      </w:r>
      <w:r w:rsidRPr="006C75B9">
        <w:rPr>
          <w:rFonts w:cs="Times New Roman"/>
          <w:color w:val="000000"/>
        </w:rPr>
        <w:br/>
        <w:t>posebnog dijela).</w:t>
      </w:r>
    </w:p>
    <w:p w14:paraId="2ED32AC7" w14:textId="77777777" w:rsidR="00C11CC1" w:rsidRDefault="00C11CC1">
      <w:pPr>
        <w:rPr>
          <w:rFonts w:cs="Times New Roman"/>
          <w:color w:val="000000"/>
        </w:rPr>
      </w:pPr>
    </w:p>
    <w:p w14:paraId="761CD0AF" w14:textId="77777777" w:rsidR="00C11CC1" w:rsidRPr="008E7524" w:rsidRDefault="00C11CC1" w:rsidP="00C11CC1">
      <w:pPr>
        <w:rPr>
          <w:rFonts w:cs="Arial"/>
          <w:b/>
        </w:rPr>
      </w:pPr>
      <w:r>
        <w:rPr>
          <w:rFonts w:cs="Arial"/>
          <w:b/>
        </w:rPr>
        <w:t>4</w:t>
      </w:r>
      <w:r w:rsidRPr="008E7524">
        <w:rPr>
          <w:rFonts w:cs="Arial"/>
          <w:b/>
        </w:rPr>
        <w:t>.</w:t>
      </w:r>
      <w:r>
        <w:rPr>
          <w:rFonts w:cs="Arial"/>
          <w:b/>
        </w:rPr>
        <w:t>6</w:t>
      </w:r>
      <w:r w:rsidRPr="008E7524">
        <w:rPr>
          <w:rFonts w:cs="Arial"/>
          <w:b/>
        </w:rPr>
        <w:t>. Izmjene i dopune financijskog plana</w:t>
      </w:r>
    </w:p>
    <w:p w14:paraId="4A7EB2D9" w14:textId="77777777" w:rsidR="00C11CC1" w:rsidRDefault="00C11CC1" w:rsidP="00C11CC1">
      <w:pPr>
        <w:rPr>
          <w:rFonts w:cs="Arial"/>
        </w:rPr>
      </w:pPr>
    </w:p>
    <w:p w14:paraId="79A0109C" w14:textId="77777777" w:rsidR="00C11CC1" w:rsidRDefault="00C11CC1" w:rsidP="00C11CC1">
      <w:pPr>
        <w:rPr>
          <w:rFonts w:cs="Times New Roman"/>
          <w:color w:val="000000"/>
        </w:rPr>
      </w:pPr>
      <w:r w:rsidRPr="008E7524">
        <w:rPr>
          <w:rFonts w:cs="Times New Roman"/>
          <w:color w:val="000000"/>
        </w:rPr>
        <w:t xml:space="preserve">Sukladno odredbama Zakona o proračunu izmjenama i dopunama financijskog plana </w:t>
      </w:r>
      <w:r w:rsidRPr="008E7524">
        <w:rPr>
          <w:rFonts w:cs="Times New Roman"/>
          <w:bCs/>
          <w:color w:val="000000"/>
        </w:rPr>
        <w:t>mijenja</w:t>
      </w:r>
      <w:r w:rsidRPr="008E7524">
        <w:rPr>
          <w:rFonts w:cs="Times New Roman"/>
          <w:bCs/>
          <w:color w:val="000000"/>
        </w:rPr>
        <w:br/>
        <w:t xml:space="preserve">se isključivo usvojeni plan za tekuću proračunsku godinu. </w:t>
      </w:r>
      <w:r w:rsidRPr="008E7524">
        <w:rPr>
          <w:rFonts w:cs="Times New Roman"/>
          <w:color w:val="000000"/>
        </w:rPr>
        <w:t>Na postupak donošenja izmjena i</w:t>
      </w:r>
      <w:r w:rsidRPr="008E7524">
        <w:rPr>
          <w:rFonts w:cs="Times New Roman"/>
          <w:color w:val="000000"/>
        </w:rPr>
        <w:br/>
        <w:t>dopuna financijskog plana na odgovarajući se način primjenjuju odredbe Zakona o proračunu</w:t>
      </w:r>
      <w:r w:rsidRPr="008E7524">
        <w:rPr>
          <w:rFonts w:cs="Times New Roman"/>
          <w:color w:val="000000"/>
        </w:rPr>
        <w:br/>
        <w:t xml:space="preserve">za postupak donošenja financijskog plana. Izmjenama i dopunama financijskog plana </w:t>
      </w:r>
      <w:r w:rsidRPr="008E7524">
        <w:rPr>
          <w:rFonts w:cs="Times New Roman"/>
          <w:bCs/>
          <w:color w:val="000000"/>
        </w:rPr>
        <w:t>ne mogu</w:t>
      </w:r>
      <w:r w:rsidRPr="008E7524">
        <w:rPr>
          <w:rFonts w:cs="Times New Roman"/>
          <w:bCs/>
          <w:color w:val="000000"/>
        </w:rPr>
        <w:br/>
        <w:t xml:space="preserve">se </w:t>
      </w:r>
      <w:r w:rsidRPr="008E7524">
        <w:rPr>
          <w:rFonts w:cs="Times New Roman"/>
          <w:color w:val="000000"/>
        </w:rPr>
        <w:t>umanjiti rashodi i izdaci ispod razine izvršenja i preuzetih obveza po investicijskim</w:t>
      </w:r>
      <w:r w:rsidRPr="008E7524">
        <w:rPr>
          <w:rFonts w:cs="Times New Roman"/>
          <w:color w:val="000000"/>
        </w:rPr>
        <w:br/>
        <w:t>projektima te preuzetih obveza iz ugovora koji zahtijevaju plaćanje u sljedećim godinama.</w:t>
      </w:r>
      <w:r w:rsidRPr="008E7524">
        <w:rPr>
          <w:rFonts w:cs="Times New Roman"/>
          <w:color w:val="000000"/>
        </w:rPr>
        <w:br/>
        <w:t>Ostvareni namjenski prihodi i primici i ostvareni vlastiti prihodi te rashodi i izdaci izvršeni iznad</w:t>
      </w:r>
      <w:r w:rsidRPr="008E7524">
        <w:rPr>
          <w:rFonts w:cs="Times New Roman"/>
          <w:color w:val="000000"/>
        </w:rPr>
        <w:br/>
        <w:t xml:space="preserve">iznosa utvrđenih u financijskom planu, izmjenama i dopunama financijskog plana </w:t>
      </w:r>
      <w:r w:rsidRPr="008E7524">
        <w:rPr>
          <w:rFonts w:cs="Times New Roman"/>
          <w:bCs/>
          <w:color w:val="000000"/>
        </w:rPr>
        <w:t>moraju se</w:t>
      </w:r>
      <w:r w:rsidRPr="008E7524">
        <w:rPr>
          <w:rFonts w:cs="Times New Roman"/>
          <w:bCs/>
          <w:color w:val="000000"/>
        </w:rPr>
        <w:br/>
        <w:t>planirati minimalno na razini ostvarenih prihoda i primitaka, odnosno izvršenih rashoda i</w:t>
      </w:r>
      <w:r w:rsidRPr="008E7524">
        <w:rPr>
          <w:rFonts w:cs="Times New Roman"/>
          <w:bCs/>
          <w:color w:val="000000"/>
        </w:rPr>
        <w:br/>
        <w:t xml:space="preserve">izdataka. </w:t>
      </w:r>
      <w:r w:rsidRPr="008E7524">
        <w:rPr>
          <w:rFonts w:cs="Times New Roman"/>
          <w:color w:val="000000"/>
        </w:rPr>
        <w:t>Uz svake izmjene i dopune financijskog plana obvezno je izraditi obrazloženja</w:t>
      </w:r>
      <w:r w:rsidRPr="008E7524">
        <w:rPr>
          <w:rFonts w:cs="Times New Roman"/>
          <w:color w:val="000000"/>
        </w:rPr>
        <w:br/>
        <w:t>izmjena i dopuna financijskog plana (općeg i posebnog dijela).</w:t>
      </w:r>
    </w:p>
    <w:p w14:paraId="7B90DF63" w14:textId="77777777" w:rsidR="00CD5808" w:rsidRDefault="00CD5808">
      <w:pPr>
        <w:rPr>
          <w:rFonts w:cs="Times New Roman"/>
          <w:color w:val="000000"/>
        </w:rPr>
      </w:pPr>
    </w:p>
    <w:p w14:paraId="7FD6C322" w14:textId="5047AD0B" w:rsidR="00585FD0" w:rsidRPr="00585FD0" w:rsidRDefault="000D2D9F">
      <w:pPr>
        <w:rPr>
          <w:rFonts w:cs="Arial"/>
          <w:b/>
          <w:color w:val="000000"/>
        </w:rPr>
      </w:pPr>
      <w:r>
        <w:rPr>
          <w:rFonts w:cs="Arial"/>
          <w:b/>
          <w:color w:val="000000"/>
        </w:rPr>
        <w:lastRenderedPageBreak/>
        <w:t>4</w:t>
      </w:r>
      <w:r w:rsidR="00C11CC1">
        <w:rPr>
          <w:rFonts w:cs="Arial"/>
          <w:b/>
          <w:color w:val="000000"/>
        </w:rPr>
        <w:t>.</w:t>
      </w:r>
      <w:r w:rsidR="00114F11">
        <w:rPr>
          <w:rFonts w:cs="Arial"/>
          <w:b/>
          <w:color w:val="000000"/>
        </w:rPr>
        <w:t>7</w:t>
      </w:r>
      <w:r w:rsidR="00CD5808">
        <w:rPr>
          <w:rFonts w:cs="Arial"/>
          <w:b/>
          <w:color w:val="000000"/>
        </w:rPr>
        <w:t>.</w:t>
      </w:r>
      <w:r w:rsidR="00585FD0" w:rsidRPr="00585FD0">
        <w:rPr>
          <w:rFonts w:cs="Arial"/>
          <w:b/>
          <w:color w:val="000000"/>
        </w:rPr>
        <w:t xml:space="preserve"> Dostava proračunskih dokumenata  Ministarstvu financija i Državnom uredu za reviziju </w:t>
      </w:r>
    </w:p>
    <w:p w14:paraId="6D08FE63" w14:textId="77777777" w:rsidR="00585FD0" w:rsidRDefault="00585FD0">
      <w:pPr>
        <w:rPr>
          <w:rFonts w:cs="Arial"/>
          <w:b/>
          <w:color w:val="000000"/>
        </w:rPr>
      </w:pPr>
    </w:p>
    <w:p w14:paraId="0D1412BB" w14:textId="77777777" w:rsidR="00CD5808" w:rsidRDefault="00CC066E" w:rsidP="00DA7A43">
      <w:pPr>
        <w:rPr>
          <w:rFonts w:cs="Arial"/>
          <w:color w:val="000000"/>
        </w:rPr>
      </w:pPr>
      <w:r w:rsidRPr="00CC066E">
        <w:rPr>
          <w:rFonts w:cs="Arial"/>
          <w:color w:val="000000"/>
        </w:rPr>
        <w:t>Sukladno članku 4</w:t>
      </w:r>
      <w:r w:rsidR="00CD5808">
        <w:rPr>
          <w:rFonts w:cs="Arial"/>
          <w:color w:val="000000"/>
        </w:rPr>
        <w:t>3</w:t>
      </w:r>
      <w:r w:rsidRPr="00CC066E">
        <w:rPr>
          <w:rFonts w:cs="Arial"/>
          <w:color w:val="000000"/>
        </w:rPr>
        <w:t xml:space="preserve">. Zakona o proračunu, načelnik, gradonačelnik i župan obvezni su dostaviti Ministarstvu financija proračun i projekcije, odluke o izvršavanju proračuna te izmjene i dopune proračuna </w:t>
      </w:r>
      <w:r w:rsidR="00CD5808">
        <w:rPr>
          <w:rFonts w:cs="Arial"/>
          <w:color w:val="000000"/>
        </w:rPr>
        <w:t xml:space="preserve">i odluke o izvršavanju proračuna </w:t>
      </w:r>
      <w:r w:rsidRPr="00CC066E">
        <w:rPr>
          <w:rFonts w:cs="Arial"/>
          <w:color w:val="000000"/>
        </w:rPr>
        <w:t xml:space="preserve">jedinica lokalne i područne (regionalne) samouprave u roku od 15 dana od njihova stupanja na snagu. </w:t>
      </w:r>
      <w:r w:rsidR="00DA7A43">
        <w:rPr>
          <w:rFonts w:cs="Arial"/>
          <w:color w:val="000000"/>
        </w:rPr>
        <w:t>Jedinice lokalne i područne (regionalne) samouprave obvezne su</w:t>
      </w:r>
      <w:r w:rsidR="00DA7A43" w:rsidRPr="00DA7A43">
        <w:rPr>
          <w:rFonts w:cs="Arial"/>
          <w:color w:val="000000"/>
        </w:rPr>
        <w:t xml:space="preserve"> na adresu e-pošte Ministarstva financija: lo</w:t>
      </w:r>
      <w:r w:rsidR="00DA7A43">
        <w:rPr>
          <w:rFonts w:cs="Arial"/>
          <w:color w:val="000000"/>
        </w:rPr>
        <w:t xml:space="preserve">kalni.proracuni@mfin.hr poslati </w:t>
      </w:r>
      <w:r w:rsidR="00DA7A43" w:rsidRPr="00DA7A43">
        <w:rPr>
          <w:rFonts w:cs="Arial"/>
          <w:color w:val="000000"/>
        </w:rPr>
        <w:t>link na navedene dokumente objavljene u službenom gla</w:t>
      </w:r>
      <w:r w:rsidR="00DA7A43">
        <w:rPr>
          <w:rFonts w:cs="Arial"/>
          <w:color w:val="000000"/>
        </w:rPr>
        <w:t xml:space="preserve">silu, u roku od 15 dana od dana </w:t>
      </w:r>
      <w:r w:rsidR="00DA7A43" w:rsidRPr="00DA7A43">
        <w:rPr>
          <w:rFonts w:cs="Arial"/>
          <w:color w:val="000000"/>
        </w:rPr>
        <w:t>njihova stupanja na snagu.</w:t>
      </w:r>
      <w:r w:rsidR="00DA7A43">
        <w:rPr>
          <w:rFonts w:cs="Arial"/>
          <w:color w:val="000000"/>
        </w:rPr>
        <w:t xml:space="preserve"> </w:t>
      </w:r>
    </w:p>
    <w:p w14:paraId="561F3FA9" w14:textId="77777777" w:rsidR="00CD5808" w:rsidRDefault="00CD5808" w:rsidP="00DA7A43">
      <w:pPr>
        <w:rPr>
          <w:rFonts w:cs="Arial"/>
          <w:color w:val="000000"/>
        </w:rPr>
      </w:pPr>
    </w:p>
    <w:p w14:paraId="07DA2B49" w14:textId="77777777" w:rsidR="00DA7A43" w:rsidRPr="00CD5808" w:rsidRDefault="00DA7A43" w:rsidP="00CD5808">
      <w:pPr>
        <w:rPr>
          <w:rFonts w:cs="Times New Roman"/>
          <w:color w:val="000000"/>
        </w:rPr>
      </w:pPr>
      <w:r w:rsidRPr="00DA7A43">
        <w:rPr>
          <w:rFonts w:cs="Arial"/>
          <w:color w:val="000000"/>
        </w:rPr>
        <w:t xml:space="preserve">Sukladno članku </w:t>
      </w:r>
      <w:r w:rsidR="00CD5808">
        <w:rPr>
          <w:rFonts w:cs="Arial"/>
          <w:color w:val="000000"/>
        </w:rPr>
        <w:t>90</w:t>
      </w:r>
      <w:r w:rsidRPr="00DA7A43">
        <w:rPr>
          <w:rFonts w:cs="Arial"/>
          <w:color w:val="000000"/>
        </w:rPr>
        <w:t>. Zakona o proračunu, godišnji izvještaj</w:t>
      </w:r>
      <w:r>
        <w:rPr>
          <w:rFonts w:cs="Arial"/>
          <w:color w:val="000000"/>
        </w:rPr>
        <w:t xml:space="preserve"> o izvršenju proračuna jedinice </w:t>
      </w:r>
      <w:r w:rsidRPr="00DA7A43">
        <w:rPr>
          <w:rFonts w:cs="Arial"/>
          <w:color w:val="000000"/>
        </w:rPr>
        <w:t>lokalne i područne (regionalne) samouprave dostavlja se Mi</w:t>
      </w:r>
      <w:r>
        <w:rPr>
          <w:rFonts w:cs="Arial"/>
          <w:color w:val="000000"/>
        </w:rPr>
        <w:t xml:space="preserve">nistarstvu financija i Državnom </w:t>
      </w:r>
      <w:r w:rsidRPr="00DA7A43">
        <w:rPr>
          <w:rFonts w:cs="Arial"/>
          <w:color w:val="000000"/>
        </w:rPr>
        <w:t>uredu za reviziju u roku od 15 dana nakon što ga donese predst</w:t>
      </w:r>
      <w:r>
        <w:rPr>
          <w:rFonts w:cs="Arial"/>
          <w:color w:val="000000"/>
        </w:rPr>
        <w:t xml:space="preserve">avničko tijelo jedinice lokalne </w:t>
      </w:r>
      <w:r w:rsidRPr="00DA7A43">
        <w:rPr>
          <w:rFonts w:cs="Arial"/>
          <w:color w:val="000000"/>
        </w:rPr>
        <w:t>i područne (regionalne) samouprave. Iznimno, ako predstavni</w:t>
      </w:r>
      <w:r>
        <w:rPr>
          <w:rFonts w:cs="Arial"/>
          <w:color w:val="000000"/>
        </w:rPr>
        <w:t xml:space="preserve">čko tijelo ne donese izvještaj, </w:t>
      </w:r>
      <w:r w:rsidRPr="00DA7A43">
        <w:rPr>
          <w:rFonts w:cs="Arial"/>
          <w:color w:val="000000"/>
        </w:rPr>
        <w:t>isti se dostavlja Ministarstvu financija i Državnom uredu z</w:t>
      </w:r>
      <w:r>
        <w:rPr>
          <w:rFonts w:cs="Arial"/>
          <w:color w:val="000000"/>
        </w:rPr>
        <w:t xml:space="preserve">a reviziju u roku od 60 dana od </w:t>
      </w:r>
      <w:r w:rsidRPr="00DA7A43">
        <w:rPr>
          <w:rFonts w:cs="Arial"/>
          <w:color w:val="000000"/>
        </w:rPr>
        <w:t xml:space="preserve">dana podnošenja predstavničkom </w:t>
      </w:r>
      <w:proofErr w:type="spellStart"/>
      <w:r w:rsidRPr="00DA7A43">
        <w:rPr>
          <w:rFonts w:cs="Arial"/>
          <w:color w:val="000000"/>
        </w:rPr>
        <w:t>tijelu.</w:t>
      </w:r>
      <w:r w:rsidR="00CD5808" w:rsidRPr="00CD5808">
        <w:rPr>
          <w:rStyle w:val="WW8Num2z0"/>
        </w:rPr>
        <w:t></w:t>
      </w:r>
      <w:r w:rsidR="00CD5808" w:rsidRPr="00CD5808">
        <w:rPr>
          <w:rFonts w:cs="Times New Roman"/>
          <w:bCs/>
          <w:color w:val="000000"/>
        </w:rPr>
        <w:t>Jedinice</w:t>
      </w:r>
      <w:proofErr w:type="spellEnd"/>
      <w:r w:rsidR="00CD5808" w:rsidRPr="00CD5808">
        <w:rPr>
          <w:rFonts w:cs="Times New Roman"/>
          <w:bCs/>
          <w:color w:val="000000"/>
        </w:rPr>
        <w:t xml:space="preserve"> su u obvezi na adresu e-pošte Ministarstva financija </w:t>
      </w:r>
      <w:hyperlink r:id="rId8" w:history="1">
        <w:r w:rsidR="00CD5808" w:rsidRPr="00CD5808">
          <w:rPr>
            <w:rStyle w:val="Hyperlink"/>
            <w:rFonts w:cs="Times New Roman"/>
            <w:bCs/>
          </w:rPr>
          <w:t>lokalni.proracuni@mfin.hr</w:t>
        </w:r>
      </w:hyperlink>
      <w:r w:rsidR="00CD5808" w:rsidRPr="00CD5808">
        <w:rPr>
          <w:rFonts w:cs="Times New Roman"/>
          <w:bCs/>
          <w:color w:val="0000FF"/>
        </w:rPr>
        <w:t xml:space="preserve"> </w:t>
      </w:r>
      <w:r w:rsidR="00CD5808" w:rsidRPr="00CD5808">
        <w:rPr>
          <w:rFonts w:cs="Times New Roman"/>
          <w:color w:val="000000"/>
        </w:rPr>
        <w:t>poslati link na mrežnu stranicu jedinice lokalne i područne (regionalne) samouprave na kojoj</w:t>
      </w:r>
      <w:r w:rsidR="00CD5808" w:rsidRPr="00CD5808">
        <w:rPr>
          <w:rFonts w:cs="Times New Roman"/>
          <w:color w:val="000000"/>
        </w:rPr>
        <w:br/>
        <w:t>je objavljen godišnji izvještaj o izvršenju proračuna jedinice lokalne i područne (regionalne)</w:t>
      </w:r>
      <w:r w:rsidR="00CD5808" w:rsidRPr="00CD5808">
        <w:rPr>
          <w:rFonts w:cs="Times New Roman"/>
          <w:color w:val="000000"/>
        </w:rPr>
        <w:br/>
        <w:t>samouprave, u roku od 15 dana nakon donošenja.</w:t>
      </w:r>
      <w:r w:rsidR="00CD5808" w:rsidRPr="00CD5808">
        <w:t xml:space="preserve"> </w:t>
      </w:r>
      <w:r w:rsidR="00CD5808" w:rsidRPr="00CD5808">
        <w:rPr>
          <w:rFonts w:cs="Times New Roman"/>
          <w:color w:val="000000"/>
        </w:rPr>
        <w:t>Godišnje izvještaje o izvršenju proračuna jedinice lokalne i područne (regio</w:t>
      </w:r>
      <w:r w:rsidR="00CD5808">
        <w:rPr>
          <w:rFonts w:cs="Times New Roman"/>
          <w:color w:val="000000"/>
        </w:rPr>
        <w:t xml:space="preserve">nalne) </w:t>
      </w:r>
      <w:r w:rsidR="00CD5808" w:rsidRPr="00CD5808">
        <w:rPr>
          <w:rFonts w:cs="Times New Roman"/>
          <w:color w:val="000000"/>
        </w:rPr>
        <w:t>samouprave nije potrebno dostavljati u papirnatom obliku</w:t>
      </w:r>
      <w:r w:rsidR="00CD5808">
        <w:rPr>
          <w:rFonts w:cs="Times New Roman"/>
          <w:color w:val="000000"/>
        </w:rPr>
        <w:t xml:space="preserve"> ni Ministarstvu financija niti </w:t>
      </w:r>
      <w:r w:rsidR="00CD5808" w:rsidRPr="00CD5808">
        <w:rPr>
          <w:rFonts w:cs="Times New Roman"/>
          <w:color w:val="000000"/>
        </w:rPr>
        <w:t>Državnom uredu za reviziju</w:t>
      </w:r>
    </w:p>
    <w:p w14:paraId="57BB50C8" w14:textId="77777777" w:rsidR="00CD5808" w:rsidRDefault="00CD5808" w:rsidP="00DA7A43">
      <w:pPr>
        <w:rPr>
          <w:rFonts w:cs="Arial"/>
          <w:color w:val="000000"/>
        </w:rPr>
      </w:pPr>
    </w:p>
    <w:p w14:paraId="4816EA83" w14:textId="77777777" w:rsidR="00D04402" w:rsidRDefault="00DA7A43" w:rsidP="00DA7A43">
      <w:pPr>
        <w:rPr>
          <w:rFonts w:cs="Arial"/>
          <w:color w:val="000000"/>
        </w:rPr>
      </w:pPr>
      <w:r w:rsidRPr="00DA7A43">
        <w:rPr>
          <w:rFonts w:cs="Arial"/>
          <w:color w:val="000000"/>
        </w:rPr>
        <w:t>Državnom uredu za reviziju je pod</w:t>
      </w:r>
      <w:r>
        <w:rPr>
          <w:rFonts w:cs="Arial"/>
          <w:color w:val="000000"/>
        </w:rPr>
        <w:t xml:space="preserve">atak o linku potrebno dostaviti </w:t>
      </w:r>
      <w:r w:rsidRPr="00DA7A43">
        <w:rPr>
          <w:rFonts w:cs="Arial"/>
          <w:color w:val="000000"/>
        </w:rPr>
        <w:t>na e-mail Državnog ureda za reviziju i to: Grad Zagreb na e</w:t>
      </w:r>
      <w:r>
        <w:rPr>
          <w:rFonts w:cs="Arial"/>
          <w:color w:val="000000"/>
        </w:rPr>
        <w:t xml:space="preserve">-mail Središnjeg ureda Državnog </w:t>
      </w:r>
      <w:r w:rsidRPr="00DA7A43">
        <w:rPr>
          <w:rFonts w:cs="Arial"/>
          <w:color w:val="000000"/>
        </w:rPr>
        <w:t xml:space="preserve">ureda za reviziju, dok su druge jedinice lokalne i područne </w:t>
      </w:r>
      <w:r>
        <w:rPr>
          <w:rFonts w:cs="Arial"/>
          <w:color w:val="000000"/>
        </w:rPr>
        <w:t xml:space="preserve">(regionalne) samouprave obvezne </w:t>
      </w:r>
      <w:r w:rsidRPr="00DA7A43">
        <w:rPr>
          <w:rFonts w:cs="Arial"/>
          <w:color w:val="000000"/>
        </w:rPr>
        <w:t>dostaviti link izvještaja na e-mail područnog ureda Drža</w:t>
      </w:r>
      <w:r>
        <w:rPr>
          <w:rFonts w:cs="Arial"/>
          <w:color w:val="000000"/>
        </w:rPr>
        <w:t xml:space="preserve">vnog ureda za reviziju na čijem </w:t>
      </w:r>
      <w:r w:rsidRPr="00DA7A43">
        <w:rPr>
          <w:rFonts w:cs="Arial"/>
          <w:color w:val="000000"/>
        </w:rPr>
        <w:t>području je sjedište jedinice. Sve e-mail adrese su objavlje</w:t>
      </w:r>
      <w:r>
        <w:rPr>
          <w:rFonts w:cs="Arial"/>
          <w:color w:val="000000"/>
        </w:rPr>
        <w:t xml:space="preserve">ne na mrežnoj stranici Državnog </w:t>
      </w:r>
      <w:r w:rsidRPr="00DA7A43">
        <w:rPr>
          <w:rFonts w:cs="Arial"/>
          <w:color w:val="000000"/>
        </w:rPr>
        <w:t xml:space="preserve">ureda za reviziju, </w:t>
      </w:r>
      <w:hyperlink r:id="rId9" w:history="1">
        <w:r w:rsidRPr="00BD1AEE">
          <w:rPr>
            <w:rStyle w:val="Hyperlink"/>
            <w:rFonts w:cs="Arial"/>
          </w:rPr>
          <w:t>http://www.revizija.hr/hr/kontakt/</w:t>
        </w:r>
      </w:hyperlink>
      <w:r w:rsidRPr="00DA7A43">
        <w:rPr>
          <w:rFonts w:cs="Arial"/>
          <w:color w:val="000000"/>
        </w:rPr>
        <w:t>.</w:t>
      </w:r>
    </w:p>
    <w:p w14:paraId="322F85F9" w14:textId="77777777" w:rsidR="00D04402" w:rsidRDefault="00D04402" w:rsidP="00DA7A43">
      <w:pPr>
        <w:rPr>
          <w:rFonts w:cs="Arial"/>
          <w:b/>
          <w:color w:val="000000"/>
        </w:rPr>
      </w:pPr>
    </w:p>
    <w:p w14:paraId="643367E3" w14:textId="1C115E01" w:rsidR="00D04402" w:rsidRDefault="000D2D9F" w:rsidP="00DA7A43">
      <w:pPr>
        <w:rPr>
          <w:rFonts w:cs="Arial"/>
          <w:b/>
          <w:color w:val="000000"/>
        </w:rPr>
      </w:pPr>
      <w:r>
        <w:rPr>
          <w:rFonts w:cs="Arial"/>
          <w:b/>
          <w:color w:val="000000"/>
        </w:rPr>
        <w:t>4</w:t>
      </w:r>
      <w:r w:rsidR="00C11CC1">
        <w:rPr>
          <w:rFonts w:cs="Arial"/>
          <w:b/>
          <w:color w:val="000000"/>
        </w:rPr>
        <w:t>.</w:t>
      </w:r>
      <w:r w:rsidR="00114F11">
        <w:rPr>
          <w:rFonts w:cs="Arial"/>
          <w:b/>
          <w:color w:val="000000"/>
        </w:rPr>
        <w:t>8</w:t>
      </w:r>
      <w:r w:rsidR="00D04402">
        <w:rPr>
          <w:rFonts w:cs="Arial"/>
          <w:b/>
          <w:color w:val="000000"/>
        </w:rPr>
        <w:t xml:space="preserve">. </w:t>
      </w:r>
      <w:r w:rsidR="00D04402" w:rsidRPr="00585FD0">
        <w:rPr>
          <w:rFonts w:cs="Arial"/>
          <w:b/>
          <w:color w:val="000000"/>
        </w:rPr>
        <w:t>Dostava proračunskih dokumenata  Ministarstvu financija</w:t>
      </w:r>
      <w:r w:rsidR="00D04402">
        <w:rPr>
          <w:rFonts w:cs="Arial"/>
          <w:b/>
          <w:color w:val="000000"/>
        </w:rPr>
        <w:t xml:space="preserve"> radi </w:t>
      </w:r>
      <w:proofErr w:type="spellStart"/>
      <w:r w:rsidR="00D04402">
        <w:rPr>
          <w:rFonts w:cs="Arial"/>
          <w:b/>
          <w:color w:val="000000"/>
        </w:rPr>
        <w:t>nazdora</w:t>
      </w:r>
      <w:proofErr w:type="spellEnd"/>
      <w:r w:rsidR="00D04402">
        <w:rPr>
          <w:rFonts w:cs="Arial"/>
          <w:b/>
          <w:color w:val="000000"/>
        </w:rPr>
        <w:t xml:space="preserve"> zakonitosti</w:t>
      </w:r>
    </w:p>
    <w:p w14:paraId="232565C7" w14:textId="77777777" w:rsidR="00D04402" w:rsidRDefault="00D04402" w:rsidP="00DA7A43">
      <w:pPr>
        <w:rPr>
          <w:rFonts w:cs="Arial"/>
          <w:b/>
          <w:color w:val="000000"/>
        </w:rPr>
      </w:pPr>
    </w:p>
    <w:p w14:paraId="6CBE55DD" w14:textId="77777777" w:rsidR="00A83C60" w:rsidRDefault="00D04402" w:rsidP="00DA7A43">
      <w:pPr>
        <w:rPr>
          <w:rFonts w:ascii="CIDFont+F3" w:hAnsi="CIDFont+F3" w:hint="eastAsia"/>
          <w:color w:val="000000"/>
        </w:rPr>
      </w:pPr>
      <w:r>
        <w:rPr>
          <w:rStyle w:val="fontstyle01"/>
        </w:rPr>
        <w:t>Sukladno članku 79. Zakona o lokalnoj i područnoj (regionalnoj) samoupravi predsjednik</w:t>
      </w:r>
      <w:r>
        <w:rPr>
          <w:rFonts w:ascii="CIDFont+F3" w:hAnsi="CIDFont+F3"/>
          <w:color w:val="000000"/>
        </w:rPr>
        <w:br/>
      </w:r>
      <w:r>
        <w:rPr>
          <w:rStyle w:val="fontstyle01"/>
        </w:rPr>
        <w:t>predstavničkog tijela jedinice lokalne i područne (regionalne) samouprave dužan je na ocjenu</w:t>
      </w:r>
      <w:r>
        <w:rPr>
          <w:rFonts w:ascii="CIDFont+F3" w:hAnsi="CIDFont+F3"/>
          <w:color w:val="000000"/>
        </w:rPr>
        <w:br/>
      </w:r>
      <w:r>
        <w:rPr>
          <w:rStyle w:val="fontstyle01"/>
        </w:rPr>
        <w:t>zakonitosti dostaviti statut, poslovnik, proračun ili drugi opći akt nadležnom tijelu državne</w:t>
      </w:r>
      <w:r>
        <w:rPr>
          <w:rFonts w:ascii="CIDFont+F3" w:hAnsi="CIDFont+F3"/>
          <w:color w:val="000000"/>
        </w:rPr>
        <w:br/>
      </w:r>
      <w:r>
        <w:rPr>
          <w:rStyle w:val="fontstyle01"/>
        </w:rPr>
        <w:t>uprave u čijem je djelokrugu opći akt zajedno sa izvatkom iz zapisnika koji se odnosi na</w:t>
      </w:r>
      <w:r>
        <w:rPr>
          <w:rFonts w:ascii="CIDFont+F1" w:hAnsi="CIDFont+F1"/>
          <w:color w:val="000000"/>
        </w:rPr>
        <w:br/>
      </w:r>
      <w:r>
        <w:rPr>
          <w:rStyle w:val="fontstyle01"/>
        </w:rPr>
        <w:t>postupak donošenja općeg akta propisan statutom i poslovnikom, u roku od 15 dana od dana</w:t>
      </w:r>
      <w:r>
        <w:rPr>
          <w:rFonts w:ascii="CIDFont+F3" w:hAnsi="CIDFont+F3"/>
          <w:color w:val="000000"/>
        </w:rPr>
        <w:br/>
      </w:r>
      <w:r>
        <w:rPr>
          <w:rStyle w:val="fontstyle01"/>
        </w:rPr>
        <w:t>donošenja općeg akta.</w:t>
      </w:r>
      <w:r>
        <w:rPr>
          <w:rFonts w:ascii="CIDFont+F3" w:hAnsi="CIDFont+F3"/>
          <w:color w:val="000000"/>
        </w:rPr>
        <w:t xml:space="preserve"> </w:t>
      </w:r>
    </w:p>
    <w:p w14:paraId="5CF0DF91" w14:textId="77777777" w:rsidR="00A83C60" w:rsidRDefault="00A83C60" w:rsidP="00DA7A43">
      <w:pPr>
        <w:rPr>
          <w:rFonts w:ascii="CIDFont+F3" w:hAnsi="CIDFont+F3" w:hint="eastAsia"/>
          <w:color w:val="000000"/>
        </w:rPr>
      </w:pPr>
    </w:p>
    <w:p w14:paraId="1FBDA741" w14:textId="77777777" w:rsidR="00D04402" w:rsidRPr="00D04402" w:rsidRDefault="00D04402" w:rsidP="00DA7A43">
      <w:pPr>
        <w:rPr>
          <w:rStyle w:val="fontstyle31"/>
          <w:rFonts w:hint="eastAsia"/>
        </w:rPr>
      </w:pPr>
      <w:r w:rsidRPr="00D04402">
        <w:rPr>
          <w:rStyle w:val="fontstyle31"/>
          <w:b w:val="0"/>
        </w:rPr>
        <w:t>Ministarstvo financija nadležno je za nadzor zakonitosti općih akata iz područja financija i</w:t>
      </w:r>
      <w:r>
        <w:rPr>
          <w:rFonts w:ascii="CIDFont+F2" w:hAnsi="CIDFont+F2"/>
          <w:b/>
          <w:bCs/>
          <w:color w:val="000000"/>
        </w:rPr>
        <w:t xml:space="preserve"> </w:t>
      </w:r>
      <w:r w:rsidRPr="00D04402">
        <w:rPr>
          <w:rStyle w:val="fontstyle31"/>
          <w:b w:val="0"/>
        </w:rPr>
        <w:t>to:</w:t>
      </w:r>
    </w:p>
    <w:p w14:paraId="49C61977" w14:textId="77777777" w:rsidR="00CD5808" w:rsidRDefault="00CD5808" w:rsidP="00D04402">
      <w:pPr>
        <w:jc w:val="left"/>
        <w:rPr>
          <w:rFonts w:ascii="CIDFont+F2" w:hAnsi="CIDFont+F2" w:hint="eastAsia"/>
          <w:b/>
          <w:bCs/>
          <w:color w:val="000000"/>
        </w:rPr>
      </w:pPr>
    </w:p>
    <w:p w14:paraId="4FCBD48E" w14:textId="77777777" w:rsidR="00CD5808" w:rsidRPr="00CD5808" w:rsidRDefault="00D04402" w:rsidP="00CD5808">
      <w:pPr>
        <w:pStyle w:val="ListParagraph"/>
        <w:numPr>
          <w:ilvl w:val="0"/>
          <w:numId w:val="27"/>
        </w:numPr>
        <w:jc w:val="left"/>
        <w:rPr>
          <w:rStyle w:val="fontstyle31"/>
          <w:rFonts w:ascii="CIDFont+F3" w:hAnsi="CIDFont+F3" w:hint="eastAsia"/>
          <w:b w:val="0"/>
          <w:bCs w:val="0"/>
        </w:rPr>
      </w:pPr>
      <w:r w:rsidRPr="00CD5808">
        <w:rPr>
          <w:rStyle w:val="fontstyle31"/>
          <w:b w:val="0"/>
        </w:rPr>
        <w:t>Proračuna za tekuću proračunsku godinu i projekcije za sljedeće dvije proračunske</w:t>
      </w:r>
      <w:r w:rsidRPr="00CD5808">
        <w:rPr>
          <w:rFonts w:ascii="CIDFont+F2" w:hAnsi="CIDFont+F2"/>
          <w:bCs/>
          <w:color w:val="000000"/>
        </w:rPr>
        <w:t xml:space="preserve"> </w:t>
      </w:r>
      <w:r w:rsidRPr="00CD5808">
        <w:rPr>
          <w:rStyle w:val="fontstyle31"/>
          <w:b w:val="0"/>
        </w:rPr>
        <w:t xml:space="preserve">godine </w:t>
      </w:r>
    </w:p>
    <w:p w14:paraId="59A61BC2" w14:textId="77777777" w:rsidR="00CD5808" w:rsidRPr="00CD5808" w:rsidRDefault="00CD5808" w:rsidP="00CD5808">
      <w:pPr>
        <w:pStyle w:val="ListParagraph"/>
        <w:numPr>
          <w:ilvl w:val="0"/>
          <w:numId w:val="27"/>
        </w:numPr>
        <w:jc w:val="left"/>
        <w:rPr>
          <w:rStyle w:val="fontstyle31"/>
          <w:rFonts w:ascii="CIDFont+F3" w:hAnsi="CIDFont+F3" w:hint="eastAsia"/>
          <w:b w:val="0"/>
          <w:bCs w:val="0"/>
        </w:rPr>
      </w:pPr>
      <w:r w:rsidRPr="00CD5808">
        <w:rPr>
          <w:rStyle w:val="fontstyle31"/>
          <w:b w:val="0"/>
        </w:rPr>
        <w:t>Odluke o izvršavanju Proračuna jedinica lokalne i područne regionalne samouprave,</w:t>
      </w:r>
      <w:r w:rsidRPr="00CD5808">
        <w:rPr>
          <w:rFonts w:ascii="CIDFont+F2" w:hAnsi="CIDFont+F2"/>
          <w:bCs/>
          <w:color w:val="000000"/>
        </w:rPr>
        <w:t xml:space="preserve"> </w:t>
      </w:r>
      <w:r w:rsidRPr="00CD5808">
        <w:rPr>
          <w:rStyle w:val="fontstyle31"/>
          <w:b w:val="0"/>
        </w:rPr>
        <w:t xml:space="preserve">te izmjene i dopune navedene odluke </w:t>
      </w:r>
    </w:p>
    <w:p w14:paraId="5483C8F4" w14:textId="77777777" w:rsidR="00CD5808" w:rsidRPr="00CD5808" w:rsidRDefault="00D04402" w:rsidP="00CD5808">
      <w:pPr>
        <w:pStyle w:val="ListParagraph"/>
        <w:numPr>
          <w:ilvl w:val="0"/>
          <w:numId w:val="27"/>
        </w:numPr>
        <w:jc w:val="left"/>
        <w:rPr>
          <w:rStyle w:val="fontstyle31"/>
          <w:rFonts w:ascii="CIDFont+F3" w:hAnsi="CIDFont+F3" w:hint="eastAsia"/>
          <w:b w:val="0"/>
          <w:bCs w:val="0"/>
        </w:rPr>
      </w:pPr>
      <w:r w:rsidRPr="00CD5808">
        <w:rPr>
          <w:rStyle w:val="fontstyle31"/>
          <w:b w:val="0"/>
        </w:rPr>
        <w:t>Izmjena i dopuna Proračuna</w:t>
      </w:r>
    </w:p>
    <w:p w14:paraId="5EC10C8F" w14:textId="77777777" w:rsidR="00CD5808" w:rsidRPr="00CD5808" w:rsidRDefault="00D04402" w:rsidP="00CD5808">
      <w:pPr>
        <w:pStyle w:val="ListParagraph"/>
        <w:numPr>
          <w:ilvl w:val="0"/>
          <w:numId w:val="27"/>
        </w:numPr>
        <w:jc w:val="left"/>
        <w:rPr>
          <w:rStyle w:val="fontstyle31"/>
          <w:rFonts w:ascii="CIDFont+F3" w:hAnsi="CIDFont+F3" w:hint="eastAsia"/>
          <w:b w:val="0"/>
          <w:bCs w:val="0"/>
        </w:rPr>
      </w:pPr>
      <w:r w:rsidRPr="00CD5808">
        <w:rPr>
          <w:rStyle w:val="fontstyle31"/>
          <w:b w:val="0"/>
        </w:rPr>
        <w:t>Odluke o privremenom financiranju jedinica lokalne i područne regionalne</w:t>
      </w:r>
      <w:r w:rsidRPr="00CD5808">
        <w:rPr>
          <w:rFonts w:ascii="CIDFont+F2" w:hAnsi="CIDFont+F2"/>
          <w:bCs/>
          <w:color w:val="000000"/>
        </w:rPr>
        <w:t xml:space="preserve"> </w:t>
      </w:r>
      <w:r w:rsidRPr="00CD5808">
        <w:rPr>
          <w:rStyle w:val="fontstyle31"/>
          <w:b w:val="0"/>
        </w:rPr>
        <w:t>samouprave</w:t>
      </w:r>
    </w:p>
    <w:p w14:paraId="2F0BB493" w14:textId="77777777" w:rsidR="00D04402" w:rsidRPr="00D04402" w:rsidRDefault="00D04402" w:rsidP="00CD5808">
      <w:pPr>
        <w:pStyle w:val="ListParagraph"/>
        <w:numPr>
          <w:ilvl w:val="0"/>
          <w:numId w:val="27"/>
        </w:numPr>
        <w:jc w:val="left"/>
        <w:rPr>
          <w:rStyle w:val="fontstyle01"/>
          <w:rFonts w:hint="eastAsia"/>
        </w:rPr>
      </w:pPr>
      <w:r w:rsidRPr="00CD5808">
        <w:rPr>
          <w:rStyle w:val="fontstyle31"/>
          <w:b w:val="0"/>
        </w:rPr>
        <w:t xml:space="preserve">Odluke o porezima </w:t>
      </w:r>
    </w:p>
    <w:p w14:paraId="6F1B3115" w14:textId="77777777" w:rsidR="00D04402" w:rsidRPr="00677B0D" w:rsidRDefault="00D04402" w:rsidP="00DA7A43">
      <w:pPr>
        <w:rPr>
          <w:rFonts w:ascii="CIDFont+F3" w:hAnsi="CIDFont+F3" w:hint="eastAsia"/>
          <w:color w:val="000000"/>
        </w:rPr>
      </w:pPr>
      <w:r>
        <w:rPr>
          <w:rFonts w:ascii="CIDFont+F3" w:hAnsi="CIDFont+F3"/>
          <w:color w:val="000000"/>
        </w:rPr>
        <w:br/>
      </w:r>
      <w:r>
        <w:rPr>
          <w:rStyle w:val="fontstyle01"/>
        </w:rPr>
        <w:t>Nadzor zakonitosti akata od rednog broja 1. do 4. provodi Sektor za financijski i proračunski</w:t>
      </w:r>
      <w:r>
        <w:rPr>
          <w:rFonts w:ascii="CIDFont+F3" w:hAnsi="CIDFont+F3"/>
          <w:color w:val="000000"/>
        </w:rPr>
        <w:br/>
      </w:r>
      <w:r>
        <w:rPr>
          <w:rStyle w:val="fontstyle01"/>
        </w:rPr>
        <w:t>nadzor, dok nadzor zakonitosti akta pod rednim brojem 5. provodi Porezna uprava.</w:t>
      </w:r>
      <w:r>
        <w:rPr>
          <w:rFonts w:ascii="CIDFont+F3" w:hAnsi="CIDFont+F3"/>
          <w:color w:val="000000"/>
        </w:rPr>
        <w:br/>
      </w:r>
      <w:r w:rsidR="00677B0D" w:rsidRPr="00677B0D">
        <w:rPr>
          <w:rFonts w:cs="Times New Roman"/>
          <w:color w:val="000000"/>
        </w:rPr>
        <w:t>Jedinice lokalne i područne (regionalne) samouprave u obvezi su proračun, odluku o</w:t>
      </w:r>
      <w:r w:rsidR="00677B0D" w:rsidRPr="00677B0D">
        <w:rPr>
          <w:rFonts w:cs="Times New Roman"/>
          <w:color w:val="000000"/>
        </w:rPr>
        <w:br/>
        <w:t>izvršavanju proračuna, kao i izmjene i dopune proračuna te izmjene i dopune odluke o</w:t>
      </w:r>
      <w:r w:rsidR="00677B0D" w:rsidRPr="00677B0D">
        <w:rPr>
          <w:rFonts w:cs="Times New Roman"/>
          <w:color w:val="000000"/>
        </w:rPr>
        <w:br/>
        <w:t>izvršavanju proračuna jedinica lokalne i područne (regionalne) samouprave dostaviti</w:t>
      </w:r>
      <w:r w:rsidR="00677B0D" w:rsidRPr="00677B0D">
        <w:rPr>
          <w:rFonts w:cs="Times New Roman"/>
          <w:color w:val="000000"/>
        </w:rPr>
        <w:br/>
      </w:r>
      <w:r w:rsidR="00677B0D" w:rsidRPr="00677B0D">
        <w:rPr>
          <w:rFonts w:cs="Times New Roman"/>
          <w:color w:val="000000"/>
        </w:rPr>
        <w:lastRenderedPageBreak/>
        <w:t xml:space="preserve">Ministarstvu financija u roku od 15 dana od dana njihova stupanja na snagu </w:t>
      </w:r>
      <w:r w:rsidR="00677B0D" w:rsidRPr="00677B0D">
        <w:rPr>
          <w:rFonts w:cs="Times New Roman"/>
          <w:bCs/>
          <w:color w:val="000000"/>
        </w:rPr>
        <w:t>na adresu e-pošte</w:t>
      </w:r>
      <w:r w:rsidR="00677B0D" w:rsidRPr="00677B0D">
        <w:rPr>
          <w:rFonts w:cs="Times New Roman"/>
          <w:bCs/>
          <w:color w:val="000000"/>
        </w:rPr>
        <w:br/>
      </w:r>
      <w:r w:rsidR="00677B0D" w:rsidRPr="00677B0D">
        <w:rPr>
          <w:rFonts w:cs="Times New Roman"/>
          <w:bCs/>
          <w:color w:val="0000FF"/>
        </w:rPr>
        <w:t xml:space="preserve">nadzor.zakonitosti@mfin.hr </w:t>
      </w:r>
      <w:r w:rsidR="00677B0D" w:rsidRPr="00677B0D">
        <w:rPr>
          <w:rFonts w:cs="Times New Roman"/>
          <w:bCs/>
          <w:color w:val="000000"/>
        </w:rPr>
        <w:t>u PDF formatu s potpisom odgovorne osobe i pečatom.</w:t>
      </w:r>
      <w:r w:rsidR="00677B0D" w:rsidRPr="00677B0D">
        <w:rPr>
          <w:rFonts w:cs="Times New Roman"/>
          <w:bCs/>
          <w:color w:val="000000"/>
        </w:rPr>
        <w:br/>
      </w:r>
    </w:p>
    <w:p w14:paraId="0136EFFD" w14:textId="55DFE3B9" w:rsidR="00B4083E" w:rsidRPr="00677B0D" w:rsidRDefault="00A83C60" w:rsidP="00B4083E">
      <w:pPr>
        <w:rPr>
          <w:rFonts w:cs="Times New Roman"/>
          <w:b/>
        </w:rPr>
      </w:pPr>
      <w:r>
        <w:rPr>
          <w:rFonts w:cs="Times New Roman"/>
          <w:b/>
        </w:rPr>
        <w:t>4</w:t>
      </w:r>
      <w:r w:rsidR="00C11CC1">
        <w:rPr>
          <w:rFonts w:cs="Times New Roman"/>
          <w:b/>
        </w:rPr>
        <w:t>.</w:t>
      </w:r>
      <w:r w:rsidR="00114F11">
        <w:rPr>
          <w:rFonts w:cs="Times New Roman"/>
          <w:b/>
        </w:rPr>
        <w:t>9</w:t>
      </w:r>
      <w:r w:rsidR="00677B0D" w:rsidRPr="00677B0D">
        <w:rPr>
          <w:rFonts w:cs="Times New Roman"/>
          <w:b/>
        </w:rPr>
        <w:t xml:space="preserve">. </w:t>
      </w:r>
      <w:r w:rsidR="00677B0D" w:rsidRPr="00677B0D">
        <w:rPr>
          <w:rFonts w:cs="Times New Roman"/>
          <w:b/>
          <w:bCs/>
          <w:color w:val="000000"/>
        </w:rPr>
        <w:t>Dostava ugovora te izvješća o zaduženju, danim jamstvima i suglasnostima</w:t>
      </w:r>
      <w:r w:rsidR="00677B0D" w:rsidRPr="00677B0D">
        <w:rPr>
          <w:rFonts w:cs="Times New Roman"/>
          <w:b/>
          <w:bCs/>
          <w:color w:val="000000"/>
        </w:rPr>
        <w:br/>
        <w:t>(Obrazac IZJS - Izvješće o zaduženju / jamstvu / suglasnosti)</w:t>
      </w:r>
    </w:p>
    <w:p w14:paraId="33A16C0B" w14:textId="77777777" w:rsidR="00B4083E" w:rsidRPr="000F1F7B" w:rsidRDefault="00B4083E" w:rsidP="00B4083E">
      <w:pPr>
        <w:rPr>
          <w:rFonts w:cs="Arial"/>
        </w:rPr>
      </w:pPr>
    </w:p>
    <w:p w14:paraId="52BA9F23" w14:textId="11A48026" w:rsidR="00677B0D" w:rsidRDefault="00677B0D" w:rsidP="00072D82">
      <w:pPr>
        <w:rPr>
          <w:rFonts w:cs="Times New Roman"/>
          <w:i/>
          <w:iCs/>
          <w:color w:val="000000"/>
        </w:rPr>
      </w:pPr>
      <w:r w:rsidRPr="00677B0D">
        <w:rPr>
          <w:rFonts w:cs="Times New Roman"/>
          <w:color w:val="000000"/>
        </w:rPr>
        <w:t>Člancima 123., 128. i 130. Zakona o proračunu i Pravilnikom o postupku dugoročnog</w:t>
      </w:r>
      <w:r w:rsidRPr="00677B0D">
        <w:rPr>
          <w:rFonts w:cs="Times New Roman"/>
          <w:color w:val="000000"/>
        </w:rPr>
        <w:br/>
        <w:t>zaduživanja te davanja jamstava i suglasnosti jedinica lokalne i područne (regionalne)</w:t>
      </w:r>
      <w:r w:rsidRPr="00677B0D">
        <w:rPr>
          <w:rFonts w:cs="Times New Roman"/>
          <w:color w:val="000000"/>
        </w:rPr>
        <w:br/>
        <w:t>samouprave</w:t>
      </w:r>
      <w:r w:rsidR="00C15C15">
        <w:rPr>
          <w:rFonts w:cs="Times New Roman"/>
          <w:color w:val="000000"/>
        </w:rPr>
        <w:t xml:space="preserve"> </w:t>
      </w:r>
      <w:r w:rsidRPr="00677B0D">
        <w:rPr>
          <w:rFonts w:cs="Times New Roman"/>
          <w:color w:val="000000"/>
        </w:rPr>
        <w:t>propisana je obveza i rok dostave Ministarstvu</w:t>
      </w:r>
      <w:r w:rsidR="00C15C15">
        <w:rPr>
          <w:rFonts w:cs="Times New Roman"/>
          <w:color w:val="000000"/>
        </w:rPr>
        <w:t xml:space="preserve"> </w:t>
      </w:r>
      <w:r w:rsidRPr="00677B0D">
        <w:rPr>
          <w:rFonts w:cs="Times New Roman"/>
          <w:color w:val="000000"/>
        </w:rPr>
        <w:t>financija ugovora o zaduženju i izvješća o zaduženju, danim jamstvima i suglasnostima na</w:t>
      </w:r>
      <w:r w:rsidR="00C15C15">
        <w:rPr>
          <w:rFonts w:cs="Times New Roman"/>
          <w:color w:val="000000"/>
        </w:rPr>
        <w:t xml:space="preserve"> </w:t>
      </w:r>
      <w:r w:rsidRPr="00677B0D">
        <w:rPr>
          <w:rFonts w:cs="Times New Roman"/>
          <w:i/>
          <w:iCs/>
          <w:color w:val="000000"/>
        </w:rPr>
        <w:t xml:space="preserve">Obrascu IZJS - Izvješće o dugoročnom zaduženju / jamstvu / suglasnosti. </w:t>
      </w:r>
    </w:p>
    <w:p w14:paraId="5C77EF72" w14:textId="77777777" w:rsidR="00677B0D" w:rsidRDefault="00677B0D" w:rsidP="00072D82">
      <w:pPr>
        <w:rPr>
          <w:rFonts w:cs="Times New Roman"/>
          <w:i/>
          <w:iCs/>
          <w:color w:val="000000"/>
        </w:rPr>
      </w:pPr>
    </w:p>
    <w:p w14:paraId="0029D5F7" w14:textId="77777777" w:rsidR="00D939D6" w:rsidRDefault="00677B0D" w:rsidP="00072D82">
      <w:pPr>
        <w:rPr>
          <w:rFonts w:cs="Times New Roman"/>
          <w:bCs/>
          <w:color w:val="000000"/>
        </w:rPr>
      </w:pPr>
      <w:r w:rsidRPr="00677B0D">
        <w:rPr>
          <w:rFonts w:cs="Times New Roman"/>
          <w:bCs/>
          <w:color w:val="000000"/>
        </w:rPr>
        <w:t>Skenirani ugovori i</w:t>
      </w:r>
      <w:r>
        <w:rPr>
          <w:rFonts w:cs="Times New Roman"/>
          <w:bCs/>
          <w:color w:val="000000"/>
        </w:rPr>
        <w:t xml:space="preserve"> </w:t>
      </w:r>
      <w:r w:rsidRPr="00677B0D">
        <w:rPr>
          <w:rFonts w:cs="Times New Roman"/>
          <w:bCs/>
          <w:color w:val="000000"/>
        </w:rPr>
        <w:t>obrasci IZJS (s potpisom župana / gradonačelnika / načelnika i s pečatom) dostavljaju se na</w:t>
      </w:r>
      <w:r>
        <w:rPr>
          <w:rFonts w:cs="Times New Roman"/>
          <w:bCs/>
          <w:color w:val="000000"/>
        </w:rPr>
        <w:t xml:space="preserve"> </w:t>
      </w:r>
      <w:r w:rsidRPr="00677B0D">
        <w:rPr>
          <w:rFonts w:cs="Times New Roman"/>
          <w:bCs/>
          <w:color w:val="000000"/>
        </w:rPr>
        <w:t xml:space="preserve">e-mail adresu Ministarstva financija </w:t>
      </w:r>
      <w:r w:rsidRPr="00677B0D">
        <w:rPr>
          <w:rFonts w:cs="Times New Roman"/>
          <w:bCs/>
          <w:color w:val="0000FF"/>
        </w:rPr>
        <w:t xml:space="preserve">lokalni.proracuni@mfin.hr </w:t>
      </w:r>
      <w:r w:rsidRPr="00677B0D">
        <w:rPr>
          <w:rFonts w:cs="Times New Roman"/>
          <w:bCs/>
          <w:color w:val="000000"/>
        </w:rPr>
        <w:t>u propisanom roku.</w:t>
      </w:r>
    </w:p>
    <w:p w14:paraId="60020745" w14:textId="77777777" w:rsidR="00D939D6" w:rsidRDefault="00D939D6" w:rsidP="00072D82">
      <w:pPr>
        <w:rPr>
          <w:rFonts w:cs="Times New Roman"/>
          <w:bCs/>
          <w:color w:val="000000"/>
        </w:rPr>
      </w:pPr>
    </w:p>
    <w:p w14:paraId="48DDD828" w14:textId="15B020FF" w:rsidR="00C11CC1" w:rsidRDefault="00C11CC1" w:rsidP="00C11CC1">
      <w:pPr>
        <w:tabs>
          <w:tab w:val="left" w:pos="0"/>
        </w:tabs>
        <w:rPr>
          <w:rFonts w:cs="Arial"/>
          <w:b/>
        </w:rPr>
      </w:pPr>
      <w:r>
        <w:rPr>
          <w:rFonts w:cs="Arial"/>
          <w:b/>
        </w:rPr>
        <w:t>4.1</w:t>
      </w:r>
      <w:r w:rsidR="00114F11">
        <w:rPr>
          <w:rFonts w:cs="Arial"/>
          <w:b/>
        </w:rPr>
        <w:t>0</w:t>
      </w:r>
      <w:r>
        <w:rPr>
          <w:rFonts w:cs="Arial"/>
          <w:b/>
        </w:rPr>
        <w:t>.</w:t>
      </w:r>
      <w:r w:rsidRPr="004C59A1">
        <w:rPr>
          <w:rFonts w:cs="Arial"/>
          <w:b/>
        </w:rPr>
        <w:t xml:space="preserve"> Visina financijskog plana proračunskog korisnika </w:t>
      </w:r>
    </w:p>
    <w:p w14:paraId="01BA4296" w14:textId="77777777" w:rsidR="00C11CC1" w:rsidRDefault="00C11CC1" w:rsidP="00C11CC1">
      <w:pPr>
        <w:tabs>
          <w:tab w:val="left" w:pos="0"/>
        </w:tabs>
        <w:rPr>
          <w:rFonts w:cs="Arial"/>
          <w:b/>
        </w:rPr>
      </w:pPr>
    </w:p>
    <w:p w14:paraId="619935FA" w14:textId="77777777" w:rsidR="00C11CC1" w:rsidRDefault="00C11CC1" w:rsidP="00C11CC1">
      <w:pPr>
        <w:tabs>
          <w:tab w:val="left" w:pos="0"/>
        </w:tabs>
        <w:rPr>
          <w:rFonts w:cs="Arial"/>
        </w:rPr>
      </w:pPr>
      <w:r w:rsidRPr="0099764B">
        <w:rPr>
          <w:rFonts w:cs="Arial"/>
        </w:rPr>
        <w:t xml:space="preserve">Sukladno </w:t>
      </w:r>
      <w:r>
        <w:rPr>
          <w:rFonts w:cs="Arial"/>
        </w:rPr>
        <w:t>Zakonu</w:t>
      </w:r>
      <w:r w:rsidRPr="0099764B">
        <w:rPr>
          <w:rFonts w:cs="Arial"/>
        </w:rPr>
        <w:t xml:space="preserve"> o proračunu</w:t>
      </w:r>
      <w:r>
        <w:rPr>
          <w:rFonts w:cs="Arial"/>
        </w:rPr>
        <w:t xml:space="preserve"> upute sadrže i</w:t>
      </w:r>
      <w:r w:rsidRPr="0099764B">
        <w:rPr>
          <w:rFonts w:cs="Arial"/>
        </w:rPr>
        <w:t xml:space="preserve"> visin</w:t>
      </w:r>
      <w:r>
        <w:rPr>
          <w:rFonts w:cs="Arial"/>
        </w:rPr>
        <w:t>u</w:t>
      </w:r>
      <w:r w:rsidRPr="0099764B">
        <w:rPr>
          <w:rFonts w:cs="Arial"/>
        </w:rPr>
        <w:t xml:space="preserve"> </w:t>
      </w:r>
      <w:r>
        <w:rPr>
          <w:rFonts w:cs="Arial"/>
        </w:rPr>
        <w:t>rashoda koji se financiraju iz općih prihoda i primitaka te namjenskih primitaka po razdjelima organizacijske klasifikacije za iduću proračunsku godinu i za slijedeće dvije raspoređenu na:</w:t>
      </w:r>
    </w:p>
    <w:p w14:paraId="4DB8AE95" w14:textId="77777777" w:rsidR="00C11CC1" w:rsidRPr="0099764B" w:rsidRDefault="00C11CC1" w:rsidP="00C11CC1">
      <w:pPr>
        <w:tabs>
          <w:tab w:val="left" w:pos="0"/>
        </w:tabs>
        <w:rPr>
          <w:rFonts w:cs="Arial"/>
        </w:rPr>
      </w:pPr>
      <w:r w:rsidRPr="0099764B">
        <w:rPr>
          <w:rFonts w:cs="Arial"/>
        </w:rPr>
        <w:t xml:space="preserve">a) visinu </w:t>
      </w:r>
      <w:r>
        <w:rPr>
          <w:rFonts w:cs="Arial"/>
        </w:rPr>
        <w:t>rashoda</w:t>
      </w:r>
      <w:r w:rsidRPr="0099764B">
        <w:rPr>
          <w:rFonts w:cs="Arial"/>
        </w:rPr>
        <w:t xml:space="preserve"> potrebnih za provedbu postojećih programa, odnosno aktivnosti, koje proizlaze iz trenutno važećih propisa i</w:t>
      </w:r>
    </w:p>
    <w:p w14:paraId="410E7726" w14:textId="77777777" w:rsidR="00C11CC1" w:rsidRDefault="00C11CC1" w:rsidP="00C11CC1">
      <w:pPr>
        <w:tabs>
          <w:tab w:val="left" w:pos="0"/>
        </w:tabs>
        <w:rPr>
          <w:rFonts w:cs="Arial"/>
        </w:rPr>
      </w:pPr>
      <w:r w:rsidRPr="0099764B">
        <w:rPr>
          <w:rFonts w:cs="Arial"/>
        </w:rPr>
        <w:t xml:space="preserve">b) visinu </w:t>
      </w:r>
      <w:r>
        <w:rPr>
          <w:rFonts w:cs="Arial"/>
        </w:rPr>
        <w:t>rashoda</w:t>
      </w:r>
      <w:r w:rsidRPr="0099764B">
        <w:rPr>
          <w:rFonts w:cs="Arial"/>
        </w:rPr>
        <w:t xml:space="preserve"> potrebnih za uvođenje i provedbu novih ili promjenu postojećih programa, odnosno aktivnosti</w:t>
      </w:r>
    </w:p>
    <w:p w14:paraId="62FDD1A8" w14:textId="77777777" w:rsidR="00C11CC1" w:rsidRDefault="00C11CC1" w:rsidP="00C11CC1">
      <w:pPr>
        <w:tabs>
          <w:tab w:val="left" w:pos="0"/>
        </w:tabs>
        <w:rPr>
          <w:rFonts w:cs="Arial"/>
        </w:rPr>
      </w:pPr>
    </w:p>
    <w:p w14:paraId="3E61069A" w14:textId="77777777" w:rsidR="00C11CC1" w:rsidRPr="0099764B" w:rsidRDefault="00C11CC1" w:rsidP="00C11CC1">
      <w:pPr>
        <w:tabs>
          <w:tab w:val="left" w:pos="0"/>
        </w:tabs>
        <w:rPr>
          <w:rFonts w:cs="Arial"/>
        </w:rPr>
      </w:pPr>
      <w:r>
        <w:rPr>
          <w:rFonts w:cs="Arial"/>
        </w:rPr>
        <w:t>Visina rashoda za proračunskog korisnika Općine Starigrad dječji vrtić Osmjeh je sljedeća:</w:t>
      </w:r>
    </w:p>
    <w:p w14:paraId="2B47235B" w14:textId="77777777" w:rsidR="00C11CC1" w:rsidRDefault="00C11CC1" w:rsidP="00C11CC1">
      <w:pPr>
        <w:tabs>
          <w:tab w:val="left" w:pos="0"/>
        </w:tabs>
        <w:rPr>
          <w:rFonts w:cs="Arial"/>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59"/>
        <w:gridCol w:w="1559"/>
        <w:gridCol w:w="1559"/>
        <w:gridCol w:w="1560"/>
        <w:gridCol w:w="851"/>
        <w:gridCol w:w="1559"/>
      </w:tblGrid>
      <w:tr w:rsidR="00C11CC1" w:rsidRPr="00925A60" w14:paraId="64A4D523" w14:textId="77777777" w:rsidTr="00862B88">
        <w:trPr>
          <w:trHeight w:val="390"/>
        </w:trPr>
        <w:tc>
          <w:tcPr>
            <w:tcW w:w="1701" w:type="dxa"/>
            <w:vMerge w:val="restart"/>
            <w:vAlign w:val="center"/>
          </w:tcPr>
          <w:p w14:paraId="632412A1" w14:textId="28913F06" w:rsidR="00C11CC1" w:rsidRPr="00925A60" w:rsidRDefault="00C11CC1" w:rsidP="001077A6">
            <w:pPr>
              <w:tabs>
                <w:tab w:val="left" w:pos="0"/>
              </w:tabs>
              <w:jc w:val="center"/>
              <w:rPr>
                <w:rFonts w:cs="Arial"/>
                <w:sz w:val="20"/>
                <w:szCs w:val="20"/>
              </w:rPr>
            </w:pPr>
            <w:r>
              <w:rPr>
                <w:rFonts w:cs="Arial"/>
                <w:sz w:val="20"/>
                <w:szCs w:val="20"/>
              </w:rPr>
              <w:t>Tekući plan 202</w:t>
            </w:r>
            <w:r w:rsidR="00EF7692">
              <w:rPr>
                <w:rFonts w:cs="Arial"/>
                <w:sz w:val="20"/>
                <w:szCs w:val="20"/>
              </w:rPr>
              <w:t>5</w:t>
            </w:r>
            <w:r w:rsidRPr="00925A60">
              <w:rPr>
                <w:rFonts w:cs="Arial"/>
                <w:sz w:val="20"/>
                <w:szCs w:val="20"/>
              </w:rPr>
              <w:t>. godina</w:t>
            </w:r>
          </w:p>
        </w:tc>
        <w:tc>
          <w:tcPr>
            <w:tcW w:w="4677" w:type="dxa"/>
            <w:gridSpan w:val="3"/>
            <w:vAlign w:val="center"/>
          </w:tcPr>
          <w:p w14:paraId="79EB89A5" w14:textId="1B5A3DAE" w:rsidR="00C11CC1" w:rsidRPr="00925A60" w:rsidRDefault="00C11CC1" w:rsidP="001077A6">
            <w:pPr>
              <w:tabs>
                <w:tab w:val="left" w:pos="0"/>
              </w:tabs>
              <w:jc w:val="center"/>
              <w:rPr>
                <w:rFonts w:cs="Arial"/>
                <w:sz w:val="20"/>
                <w:szCs w:val="20"/>
              </w:rPr>
            </w:pPr>
            <w:r>
              <w:rPr>
                <w:rFonts w:cs="Arial"/>
                <w:sz w:val="20"/>
                <w:szCs w:val="20"/>
              </w:rPr>
              <w:t>202</w:t>
            </w:r>
            <w:r w:rsidR="00EF7692">
              <w:rPr>
                <w:rFonts w:cs="Arial"/>
                <w:sz w:val="20"/>
                <w:szCs w:val="20"/>
              </w:rPr>
              <w:t>6</w:t>
            </w:r>
            <w:r w:rsidRPr="00925A60">
              <w:rPr>
                <w:rFonts w:cs="Arial"/>
                <w:sz w:val="20"/>
                <w:szCs w:val="20"/>
              </w:rPr>
              <w:t>. godina</w:t>
            </w:r>
          </w:p>
        </w:tc>
        <w:tc>
          <w:tcPr>
            <w:tcW w:w="3970" w:type="dxa"/>
            <w:gridSpan w:val="3"/>
            <w:vAlign w:val="center"/>
          </w:tcPr>
          <w:p w14:paraId="5C0C7301" w14:textId="4AFF9F04" w:rsidR="00C11CC1" w:rsidRPr="00925A60" w:rsidRDefault="00C11CC1" w:rsidP="001077A6">
            <w:pPr>
              <w:tabs>
                <w:tab w:val="left" w:pos="0"/>
              </w:tabs>
              <w:jc w:val="center"/>
              <w:rPr>
                <w:rFonts w:cs="Arial"/>
                <w:sz w:val="20"/>
                <w:szCs w:val="20"/>
              </w:rPr>
            </w:pPr>
            <w:r>
              <w:rPr>
                <w:rFonts w:cs="Arial"/>
                <w:sz w:val="20"/>
                <w:szCs w:val="20"/>
              </w:rPr>
              <w:t>202</w:t>
            </w:r>
            <w:r w:rsidR="00EF7692">
              <w:rPr>
                <w:rFonts w:cs="Arial"/>
                <w:sz w:val="20"/>
                <w:szCs w:val="20"/>
              </w:rPr>
              <w:t>7</w:t>
            </w:r>
            <w:r>
              <w:rPr>
                <w:rFonts w:cs="Arial"/>
                <w:sz w:val="20"/>
                <w:szCs w:val="20"/>
              </w:rPr>
              <w:t>. i 202</w:t>
            </w:r>
            <w:r w:rsidR="00EF7692">
              <w:rPr>
                <w:rFonts w:cs="Arial"/>
                <w:sz w:val="20"/>
                <w:szCs w:val="20"/>
              </w:rPr>
              <w:t>8</w:t>
            </w:r>
            <w:r w:rsidRPr="00925A60">
              <w:rPr>
                <w:rFonts w:cs="Arial"/>
                <w:sz w:val="20"/>
                <w:szCs w:val="20"/>
              </w:rPr>
              <w:t>. godina</w:t>
            </w:r>
          </w:p>
        </w:tc>
      </w:tr>
      <w:tr w:rsidR="00C11CC1" w:rsidRPr="00925A60" w14:paraId="0252E287" w14:textId="77777777" w:rsidTr="00862B88">
        <w:trPr>
          <w:trHeight w:val="390"/>
        </w:trPr>
        <w:tc>
          <w:tcPr>
            <w:tcW w:w="1701" w:type="dxa"/>
            <w:vMerge/>
            <w:vAlign w:val="center"/>
          </w:tcPr>
          <w:p w14:paraId="22918F83" w14:textId="77777777" w:rsidR="00C11CC1" w:rsidRPr="00925A60" w:rsidRDefault="00C11CC1" w:rsidP="00862B88">
            <w:pPr>
              <w:tabs>
                <w:tab w:val="left" w:pos="0"/>
              </w:tabs>
              <w:rPr>
                <w:rFonts w:cs="Arial"/>
                <w:sz w:val="20"/>
                <w:szCs w:val="20"/>
              </w:rPr>
            </w:pPr>
          </w:p>
        </w:tc>
        <w:tc>
          <w:tcPr>
            <w:tcW w:w="1559" w:type="dxa"/>
            <w:vAlign w:val="center"/>
          </w:tcPr>
          <w:p w14:paraId="453B485E" w14:textId="2E7A1953" w:rsidR="00C11CC1" w:rsidRPr="00925A60" w:rsidRDefault="00C11CC1" w:rsidP="00862B88">
            <w:pPr>
              <w:tabs>
                <w:tab w:val="left" w:pos="0"/>
              </w:tabs>
              <w:rPr>
                <w:rFonts w:cs="Arial"/>
                <w:sz w:val="20"/>
                <w:szCs w:val="20"/>
              </w:rPr>
            </w:pPr>
            <w:r w:rsidRPr="00925A60">
              <w:rPr>
                <w:rFonts w:cs="Arial"/>
                <w:sz w:val="20"/>
                <w:szCs w:val="20"/>
              </w:rPr>
              <w:t xml:space="preserve">Limit </w:t>
            </w:r>
            <w:r w:rsidR="00EF7692">
              <w:rPr>
                <w:rFonts w:cs="Arial"/>
                <w:sz w:val="20"/>
                <w:szCs w:val="20"/>
              </w:rPr>
              <w:t>1</w:t>
            </w:r>
          </w:p>
        </w:tc>
        <w:tc>
          <w:tcPr>
            <w:tcW w:w="1559" w:type="dxa"/>
            <w:vAlign w:val="center"/>
          </w:tcPr>
          <w:p w14:paraId="0E540555" w14:textId="7B466211" w:rsidR="00C11CC1" w:rsidRPr="00925A60" w:rsidRDefault="00C11CC1" w:rsidP="00862B88">
            <w:pPr>
              <w:tabs>
                <w:tab w:val="left" w:pos="0"/>
              </w:tabs>
              <w:rPr>
                <w:rFonts w:cs="Arial"/>
                <w:sz w:val="20"/>
                <w:szCs w:val="20"/>
              </w:rPr>
            </w:pPr>
            <w:r w:rsidRPr="00925A60">
              <w:rPr>
                <w:rFonts w:cs="Arial"/>
                <w:sz w:val="20"/>
                <w:szCs w:val="20"/>
              </w:rPr>
              <w:t xml:space="preserve">Limit </w:t>
            </w:r>
            <w:r w:rsidR="00EF7692">
              <w:rPr>
                <w:rFonts w:cs="Arial"/>
                <w:sz w:val="20"/>
                <w:szCs w:val="20"/>
              </w:rPr>
              <w:t>2</w:t>
            </w:r>
          </w:p>
        </w:tc>
        <w:tc>
          <w:tcPr>
            <w:tcW w:w="1559" w:type="dxa"/>
            <w:vAlign w:val="center"/>
          </w:tcPr>
          <w:p w14:paraId="485D56C9" w14:textId="77777777" w:rsidR="00C11CC1" w:rsidRPr="00925A60" w:rsidRDefault="00C11CC1" w:rsidP="00862B88">
            <w:pPr>
              <w:tabs>
                <w:tab w:val="left" w:pos="0"/>
              </w:tabs>
              <w:rPr>
                <w:rFonts w:cs="Arial"/>
                <w:sz w:val="20"/>
                <w:szCs w:val="20"/>
              </w:rPr>
            </w:pPr>
            <w:r>
              <w:rPr>
                <w:rFonts w:cs="Arial"/>
                <w:sz w:val="20"/>
                <w:szCs w:val="20"/>
              </w:rPr>
              <w:t xml:space="preserve">Plan </w:t>
            </w:r>
          </w:p>
        </w:tc>
        <w:tc>
          <w:tcPr>
            <w:tcW w:w="1560" w:type="dxa"/>
            <w:vAlign w:val="center"/>
          </w:tcPr>
          <w:p w14:paraId="3FD72CBE" w14:textId="77777777" w:rsidR="00C11CC1" w:rsidRPr="00925A60" w:rsidRDefault="00C11CC1" w:rsidP="00862B88">
            <w:pPr>
              <w:tabs>
                <w:tab w:val="left" w:pos="0"/>
              </w:tabs>
              <w:rPr>
                <w:rFonts w:cs="Arial"/>
                <w:sz w:val="20"/>
                <w:szCs w:val="20"/>
              </w:rPr>
            </w:pPr>
            <w:r w:rsidRPr="00925A60">
              <w:rPr>
                <w:rFonts w:cs="Arial"/>
                <w:sz w:val="20"/>
                <w:szCs w:val="20"/>
              </w:rPr>
              <w:t>Limit A</w:t>
            </w:r>
          </w:p>
        </w:tc>
        <w:tc>
          <w:tcPr>
            <w:tcW w:w="851" w:type="dxa"/>
            <w:vAlign w:val="center"/>
          </w:tcPr>
          <w:p w14:paraId="3CDC590E" w14:textId="77777777" w:rsidR="00C11CC1" w:rsidRPr="00925A60" w:rsidRDefault="00C11CC1" w:rsidP="00862B88">
            <w:pPr>
              <w:tabs>
                <w:tab w:val="left" w:pos="0"/>
              </w:tabs>
              <w:rPr>
                <w:rFonts w:cs="Arial"/>
                <w:sz w:val="20"/>
                <w:szCs w:val="20"/>
              </w:rPr>
            </w:pPr>
            <w:r w:rsidRPr="00925A60">
              <w:rPr>
                <w:rFonts w:cs="Arial"/>
                <w:sz w:val="20"/>
                <w:szCs w:val="20"/>
              </w:rPr>
              <w:t>Limit B</w:t>
            </w:r>
          </w:p>
        </w:tc>
        <w:tc>
          <w:tcPr>
            <w:tcW w:w="1559" w:type="dxa"/>
            <w:vAlign w:val="center"/>
          </w:tcPr>
          <w:p w14:paraId="6C51345E" w14:textId="77777777" w:rsidR="00C11CC1" w:rsidRPr="00925A60" w:rsidRDefault="00C11CC1" w:rsidP="00862B88">
            <w:pPr>
              <w:tabs>
                <w:tab w:val="left" w:pos="0"/>
              </w:tabs>
              <w:rPr>
                <w:rFonts w:cs="Arial"/>
                <w:sz w:val="20"/>
                <w:szCs w:val="20"/>
              </w:rPr>
            </w:pPr>
            <w:r>
              <w:rPr>
                <w:rFonts w:cs="Arial"/>
                <w:sz w:val="20"/>
                <w:szCs w:val="20"/>
              </w:rPr>
              <w:t>Plan</w:t>
            </w:r>
          </w:p>
        </w:tc>
      </w:tr>
      <w:tr w:rsidR="00C11CC1" w:rsidRPr="00925A60" w14:paraId="3E4E4B41" w14:textId="77777777" w:rsidTr="001077A6">
        <w:tc>
          <w:tcPr>
            <w:tcW w:w="1701" w:type="dxa"/>
            <w:vAlign w:val="center"/>
          </w:tcPr>
          <w:p w14:paraId="40C90991" w14:textId="6664C13D" w:rsidR="00C11CC1" w:rsidRPr="00925A60" w:rsidRDefault="00804E61" w:rsidP="00862B88">
            <w:pPr>
              <w:tabs>
                <w:tab w:val="left" w:pos="0"/>
              </w:tabs>
              <w:jc w:val="left"/>
              <w:rPr>
                <w:rFonts w:cs="Arial"/>
                <w:sz w:val="20"/>
                <w:szCs w:val="20"/>
              </w:rPr>
            </w:pPr>
            <w:r>
              <w:rPr>
                <w:rFonts w:cs="Arial"/>
                <w:sz w:val="20"/>
                <w:szCs w:val="20"/>
              </w:rPr>
              <w:t>325.000,00</w:t>
            </w:r>
            <w:r w:rsidR="001077A6">
              <w:rPr>
                <w:rFonts w:cs="Arial"/>
                <w:sz w:val="20"/>
                <w:szCs w:val="20"/>
              </w:rPr>
              <w:t xml:space="preserve"> </w:t>
            </w:r>
            <w:r w:rsidR="001077A6">
              <w:rPr>
                <w:rFonts w:cs="Times New Roman"/>
                <w:sz w:val="20"/>
                <w:szCs w:val="20"/>
              </w:rPr>
              <w:t>€</w:t>
            </w:r>
          </w:p>
        </w:tc>
        <w:tc>
          <w:tcPr>
            <w:tcW w:w="1559" w:type="dxa"/>
            <w:vAlign w:val="center"/>
          </w:tcPr>
          <w:p w14:paraId="7B80E62D" w14:textId="41824CAE" w:rsidR="00C11CC1" w:rsidRPr="00925A60" w:rsidRDefault="00C11CC1" w:rsidP="001077A6">
            <w:pPr>
              <w:tabs>
                <w:tab w:val="left" w:pos="0"/>
              </w:tabs>
              <w:jc w:val="left"/>
              <w:rPr>
                <w:rFonts w:cs="Arial"/>
                <w:sz w:val="20"/>
                <w:szCs w:val="20"/>
              </w:rPr>
            </w:pPr>
            <w:r>
              <w:rPr>
                <w:rFonts w:cs="Arial"/>
                <w:sz w:val="20"/>
                <w:szCs w:val="20"/>
              </w:rPr>
              <w:t xml:space="preserve"> </w:t>
            </w:r>
            <w:r w:rsidR="00804E61">
              <w:rPr>
                <w:rFonts w:cs="Arial"/>
                <w:sz w:val="20"/>
                <w:szCs w:val="20"/>
              </w:rPr>
              <w:t>3</w:t>
            </w:r>
            <w:r w:rsidR="00C7553B">
              <w:rPr>
                <w:rFonts w:cs="Arial"/>
                <w:sz w:val="20"/>
                <w:szCs w:val="20"/>
              </w:rPr>
              <w:t>50</w:t>
            </w:r>
            <w:r w:rsidR="00804E61">
              <w:rPr>
                <w:rFonts w:cs="Arial"/>
                <w:sz w:val="20"/>
                <w:szCs w:val="20"/>
              </w:rPr>
              <w:t>.000,00</w:t>
            </w:r>
            <w:r>
              <w:rPr>
                <w:rFonts w:cs="Arial"/>
                <w:sz w:val="20"/>
                <w:szCs w:val="20"/>
              </w:rPr>
              <w:t xml:space="preserve"> </w:t>
            </w:r>
            <w:r>
              <w:rPr>
                <w:rFonts w:cs="Times New Roman"/>
                <w:sz w:val="20"/>
                <w:szCs w:val="20"/>
              </w:rPr>
              <w:t>€</w:t>
            </w:r>
          </w:p>
        </w:tc>
        <w:tc>
          <w:tcPr>
            <w:tcW w:w="1559" w:type="dxa"/>
            <w:vAlign w:val="center"/>
          </w:tcPr>
          <w:p w14:paraId="1B0B4FC6" w14:textId="3586FB15" w:rsidR="00C11CC1" w:rsidRPr="00925A60" w:rsidRDefault="00C15C15" w:rsidP="00862B88">
            <w:pPr>
              <w:tabs>
                <w:tab w:val="left" w:pos="0"/>
              </w:tabs>
              <w:jc w:val="left"/>
              <w:rPr>
                <w:rFonts w:cs="Arial"/>
                <w:sz w:val="20"/>
                <w:szCs w:val="20"/>
              </w:rPr>
            </w:pPr>
            <w:r>
              <w:rPr>
                <w:rFonts w:cs="Arial"/>
                <w:sz w:val="20"/>
                <w:szCs w:val="20"/>
              </w:rPr>
              <w:t>0</w:t>
            </w:r>
            <w:r w:rsidR="001077A6">
              <w:rPr>
                <w:rFonts w:cs="Arial"/>
                <w:sz w:val="20"/>
                <w:szCs w:val="20"/>
              </w:rPr>
              <w:t>,00</w:t>
            </w:r>
            <w:r w:rsidR="00C11CC1">
              <w:rPr>
                <w:rFonts w:cs="Arial"/>
                <w:sz w:val="20"/>
                <w:szCs w:val="20"/>
              </w:rPr>
              <w:t xml:space="preserve"> </w:t>
            </w:r>
            <w:r w:rsidR="00C11CC1">
              <w:rPr>
                <w:rFonts w:cs="Times New Roman"/>
                <w:sz w:val="20"/>
                <w:szCs w:val="20"/>
              </w:rPr>
              <w:t>€</w:t>
            </w:r>
          </w:p>
        </w:tc>
        <w:tc>
          <w:tcPr>
            <w:tcW w:w="1559" w:type="dxa"/>
            <w:vAlign w:val="center"/>
          </w:tcPr>
          <w:p w14:paraId="1C00297C" w14:textId="27A018EE" w:rsidR="00C11CC1" w:rsidRPr="00925A60" w:rsidRDefault="00C15C15" w:rsidP="001077A6">
            <w:pPr>
              <w:tabs>
                <w:tab w:val="left" w:pos="0"/>
              </w:tabs>
              <w:jc w:val="center"/>
              <w:rPr>
                <w:rFonts w:cs="Arial"/>
                <w:sz w:val="20"/>
                <w:szCs w:val="20"/>
              </w:rPr>
            </w:pPr>
            <w:r>
              <w:rPr>
                <w:rFonts w:cs="Arial"/>
                <w:sz w:val="20"/>
                <w:szCs w:val="20"/>
              </w:rPr>
              <w:t>3</w:t>
            </w:r>
            <w:r w:rsidR="00C7553B">
              <w:rPr>
                <w:rFonts w:cs="Arial"/>
                <w:sz w:val="20"/>
                <w:szCs w:val="20"/>
              </w:rPr>
              <w:t>50</w:t>
            </w:r>
            <w:r w:rsidR="001077A6">
              <w:rPr>
                <w:rFonts w:cs="Arial"/>
                <w:sz w:val="20"/>
                <w:szCs w:val="20"/>
              </w:rPr>
              <w:t>.000,00</w:t>
            </w:r>
            <w:r w:rsidR="00C11CC1">
              <w:rPr>
                <w:rFonts w:cs="Arial"/>
                <w:sz w:val="20"/>
                <w:szCs w:val="20"/>
              </w:rPr>
              <w:t xml:space="preserve"> </w:t>
            </w:r>
            <w:r w:rsidR="00C11CC1">
              <w:rPr>
                <w:rFonts w:cs="Times New Roman"/>
                <w:sz w:val="20"/>
                <w:szCs w:val="20"/>
              </w:rPr>
              <w:t>€</w:t>
            </w:r>
          </w:p>
        </w:tc>
        <w:tc>
          <w:tcPr>
            <w:tcW w:w="1560" w:type="dxa"/>
            <w:vAlign w:val="center"/>
          </w:tcPr>
          <w:p w14:paraId="4D44499F" w14:textId="0479DF15" w:rsidR="00C11CC1" w:rsidRPr="00925A60" w:rsidRDefault="00C15C15" w:rsidP="00862B88">
            <w:pPr>
              <w:tabs>
                <w:tab w:val="left" w:pos="0"/>
              </w:tabs>
              <w:jc w:val="left"/>
              <w:rPr>
                <w:rFonts w:cs="Arial"/>
                <w:sz w:val="20"/>
                <w:szCs w:val="20"/>
              </w:rPr>
            </w:pPr>
            <w:r>
              <w:rPr>
                <w:rFonts w:cs="Times New Roman"/>
                <w:sz w:val="20"/>
                <w:szCs w:val="20"/>
              </w:rPr>
              <w:t>3</w:t>
            </w:r>
            <w:r w:rsidR="00044423">
              <w:rPr>
                <w:rFonts w:cs="Times New Roman"/>
                <w:sz w:val="20"/>
                <w:szCs w:val="20"/>
              </w:rPr>
              <w:t>60</w:t>
            </w:r>
            <w:r w:rsidR="001077A6">
              <w:rPr>
                <w:rFonts w:cs="Times New Roman"/>
                <w:sz w:val="20"/>
                <w:szCs w:val="20"/>
              </w:rPr>
              <w:t>.000,00</w:t>
            </w:r>
            <w:r w:rsidR="00C11CC1">
              <w:rPr>
                <w:rFonts w:cs="Times New Roman"/>
                <w:sz w:val="20"/>
                <w:szCs w:val="20"/>
              </w:rPr>
              <w:t xml:space="preserve"> €</w:t>
            </w:r>
          </w:p>
        </w:tc>
        <w:tc>
          <w:tcPr>
            <w:tcW w:w="851" w:type="dxa"/>
            <w:vAlign w:val="center"/>
          </w:tcPr>
          <w:p w14:paraId="4FC92EDB" w14:textId="77777777" w:rsidR="00C11CC1" w:rsidRPr="00925A60" w:rsidRDefault="00C11CC1" w:rsidP="00862B88">
            <w:pPr>
              <w:tabs>
                <w:tab w:val="left" w:pos="0"/>
              </w:tabs>
              <w:jc w:val="center"/>
              <w:rPr>
                <w:rFonts w:cs="Arial"/>
                <w:sz w:val="20"/>
                <w:szCs w:val="20"/>
              </w:rPr>
            </w:pPr>
            <w:r>
              <w:rPr>
                <w:rFonts w:cs="Arial"/>
                <w:sz w:val="20"/>
                <w:szCs w:val="20"/>
              </w:rPr>
              <w:t>-</w:t>
            </w:r>
          </w:p>
        </w:tc>
        <w:tc>
          <w:tcPr>
            <w:tcW w:w="1559" w:type="dxa"/>
          </w:tcPr>
          <w:p w14:paraId="74175615" w14:textId="61E9F494" w:rsidR="00C11CC1" w:rsidRPr="00925A60" w:rsidRDefault="00C15C15" w:rsidP="00862B88">
            <w:pPr>
              <w:tabs>
                <w:tab w:val="left" w:pos="0"/>
              </w:tabs>
              <w:rPr>
                <w:rFonts w:cs="Arial"/>
                <w:sz w:val="20"/>
                <w:szCs w:val="20"/>
              </w:rPr>
            </w:pPr>
            <w:r>
              <w:rPr>
                <w:rFonts w:cs="Arial"/>
                <w:sz w:val="20"/>
                <w:szCs w:val="20"/>
              </w:rPr>
              <w:t>3</w:t>
            </w:r>
            <w:r w:rsidR="00044423">
              <w:rPr>
                <w:rFonts w:cs="Arial"/>
                <w:sz w:val="20"/>
                <w:szCs w:val="20"/>
              </w:rPr>
              <w:t>60</w:t>
            </w:r>
            <w:r w:rsidR="001077A6">
              <w:rPr>
                <w:rFonts w:cs="Times New Roman"/>
                <w:sz w:val="20"/>
                <w:szCs w:val="20"/>
              </w:rPr>
              <w:t>.000,00</w:t>
            </w:r>
            <w:r w:rsidR="00C11CC1">
              <w:rPr>
                <w:rFonts w:cs="Times New Roman"/>
                <w:sz w:val="20"/>
                <w:szCs w:val="20"/>
              </w:rPr>
              <w:t xml:space="preserve"> €</w:t>
            </w:r>
          </w:p>
        </w:tc>
      </w:tr>
    </w:tbl>
    <w:p w14:paraId="5CA9DE8B" w14:textId="77777777" w:rsidR="00677B0D" w:rsidRDefault="00677B0D" w:rsidP="00072D82">
      <w:pPr>
        <w:rPr>
          <w:rFonts w:cs="Times New Roman"/>
          <w:bCs/>
          <w:color w:val="000000"/>
        </w:rPr>
      </w:pPr>
    </w:p>
    <w:p w14:paraId="78E6B9B4" w14:textId="3E877720" w:rsidR="00105173" w:rsidRDefault="00C907FD" w:rsidP="00C907FD">
      <w:pPr>
        <w:jc w:val="left"/>
        <w:rPr>
          <w:rFonts w:cs="Times New Roman"/>
          <w:b/>
          <w:bCs/>
          <w:color w:val="000000"/>
        </w:rPr>
      </w:pPr>
      <w:r>
        <w:rPr>
          <w:rFonts w:cs="Times New Roman"/>
          <w:b/>
          <w:bCs/>
          <w:color w:val="000000"/>
        </w:rPr>
        <w:t xml:space="preserve">4.11. </w:t>
      </w:r>
      <w:r w:rsidRPr="00C907FD">
        <w:rPr>
          <w:rFonts w:cs="Times New Roman"/>
          <w:b/>
          <w:bCs/>
          <w:color w:val="000000"/>
        </w:rPr>
        <w:t>Poslovanje jedinica lokalne i područne (regionalne) samouprave preko jedinstvenog računa proračuna</w:t>
      </w:r>
    </w:p>
    <w:p w14:paraId="632B5E2A" w14:textId="77777777" w:rsidR="00C907FD" w:rsidRDefault="00C907FD" w:rsidP="00C907FD">
      <w:pPr>
        <w:jc w:val="left"/>
        <w:rPr>
          <w:rFonts w:cs="Times New Roman"/>
          <w:b/>
          <w:bCs/>
          <w:color w:val="000000"/>
        </w:rPr>
      </w:pPr>
    </w:p>
    <w:p w14:paraId="3D820FB1" w14:textId="77777777" w:rsidR="00AC6F8E" w:rsidRDefault="00AC6F8E" w:rsidP="00AC6F8E">
      <w:pPr>
        <w:rPr>
          <w:rFonts w:cs="Times New Roman"/>
          <w:color w:val="000000"/>
        </w:rPr>
      </w:pPr>
      <w:r w:rsidRPr="00AC6F8E">
        <w:rPr>
          <w:rFonts w:cs="Times New Roman"/>
          <w:color w:val="000000"/>
        </w:rPr>
        <w:t xml:space="preserve">Temeljem članka 50. st.2. Zakona o proračunu jedinice lokalne i područne (regionalne) samouprave obvezne su imati jedinstveni račun proračuna koji se otvara i vodi u kreditnoj instituciji, a na kojem se ostvaruju svi priljevi i izvršavaju svi odljevi proračuna i proračunskih korisnika jedinice lokalne i područne (regionalne) samouprave. </w:t>
      </w:r>
    </w:p>
    <w:p w14:paraId="4E80E3E7" w14:textId="77777777" w:rsidR="00AC6F8E" w:rsidRDefault="00AC6F8E" w:rsidP="00AC6F8E">
      <w:pPr>
        <w:rPr>
          <w:rFonts w:cs="Times New Roman"/>
          <w:color w:val="000000"/>
        </w:rPr>
      </w:pPr>
      <w:r w:rsidRPr="00AC6F8E">
        <w:rPr>
          <w:rFonts w:cs="Times New Roman"/>
          <w:color w:val="000000"/>
        </w:rPr>
        <w:t xml:space="preserve">Sustav poslovanja preko jedinstvenog računa proračuna podržava efikasno upravljanje viškovima i manjkovima proračunskog sustava, pruža točne i pravovremene informacije o novčanim tokovima proračuna i proračunskih korisnika, omogućava sveobuhvatnije i točnije projekcije likvidnosti te praćenje i nadzor nad naplatom prihoda i primitaka i drugih priljeva odnosno pravovremeno izvršavanje rashoda i izdataka i drugih odljeva, što osigurava realnije i kvalitetnije planiranje i izvršavanje proračuna. </w:t>
      </w:r>
    </w:p>
    <w:p w14:paraId="4E76D2EA" w14:textId="41A0BD09" w:rsidR="00C907FD" w:rsidRDefault="00AC6F8E" w:rsidP="00AC6F8E">
      <w:pPr>
        <w:rPr>
          <w:rFonts w:cs="Times New Roman"/>
          <w:color w:val="000000"/>
        </w:rPr>
      </w:pPr>
      <w:r w:rsidRPr="00AC6F8E">
        <w:rPr>
          <w:rFonts w:cs="Times New Roman"/>
          <w:color w:val="000000"/>
        </w:rPr>
        <w:t xml:space="preserve">Pravilnik o proračunskom računovodstvu i Računskom planu dodatno je, kao nadogradnju jedinstvenom računu proračuna, propisao </w:t>
      </w:r>
      <w:r w:rsidRPr="00AC6F8E">
        <w:rPr>
          <w:rFonts w:cs="Times New Roman"/>
          <w:b/>
          <w:bCs/>
          <w:color w:val="000000"/>
          <w:u w:val="single"/>
        </w:rPr>
        <w:t>obvezu uvođenja Objedinjene glavne knjige proračuna</w:t>
      </w:r>
      <w:r w:rsidRPr="00AC6F8E">
        <w:rPr>
          <w:rFonts w:cs="Times New Roman"/>
          <w:color w:val="000000"/>
        </w:rPr>
        <w:t xml:space="preserve">, sustava koji, kao nadopuna postojećim Glavnim knjigama proračuna i Glavnim knjigama proračunskih korisnika, na jednom mjestu objedinjava podatke o poslovnim događajima iz Glavne knjige proračuna i Glavnih knjiga proračunskih korisnika iz nadležnosti proračuna. Proračuni čiji su proračunski korisnici u trenutku stupanja na snagu Pravilnika poslovali preko </w:t>
      </w:r>
      <w:r w:rsidRPr="00AC6F8E">
        <w:rPr>
          <w:rFonts w:cs="Times New Roman"/>
          <w:color w:val="000000"/>
        </w:rPr>
        <w:lastRenderedPageBreak/>
        <w:t>jedinstvenog računa proračuna, bili su obvezni uspostaviti Objedinjenu glavnu knjigu proračuna do 1. siječnja 2025. Proračuni čiji proračunski korisnici u trenutku stupanja na snagu ovoga Pravilnika ne posluju preko jedinstvenog računa proračuna već preko vlastitih računa u poslovnim bankama, obvezni su uspostaviti Objedinjenu glavnu knjigu proračuna do 1. siječnja 2026.</w:t>
      </w:r>
    </w:p>
    <w:p w14:paraId="4141BA38" w14:textId="77777777" w:rsidR="00291FF3" w:rsidRDefault="00291FF3" w:rsidP="00AC6F8E">
      <w:pPr>
        <w:rPr>
          <w:rFonts w:cs="Times New Roman"/>
          <w:color w:val="000000"/>
        </w:rPr>
      </w:pPr>
    </w:p>
    <w:p w14:paraId="1FFE02FE" w14:textId="21CB7C16" w:rsidR="00291FF3" w:rsidRDefault="00291FF3" w:rsidP="00AC6F8E">
      <w:pPr>
        <w:rPr>
          <w:rFonts w:cs="Times New Roman"/>
          <w:color w:val="000000"/>
        </w:rPr>
      </w:pPr>
      <w:r>
        <w:rPr>
          <w:rFonts w:cs="Times New Roman"/>
          <w:color w:val="000000"/>
        </w:rPr>
        <w:t xml:space="preserve">S obzirom na sve navedeno od 01. siječnja 2026. godine, </w:t>
      </w:r>
      <w:r w:rsidRPr="00291FF3">
        <w:rPr>
          <w:rFonts w:cs="Times New Roman"/>
          <w:b/>
          <w:bCs/>
          <w:color w:val="000000"/>
          <w:u w:val="single"/>
        </w:rPr>
        <w:t>Općina Starigrad planira uspostavljanje pune RIZNICE a na način da uključi u istu svog proračunskog korisnika, Dječji vrtić Osmjeh.</w:t>
      </w:r>
      <w:r>
        <w:rPr>
          <w:rFonts w:cs="Times New Roman"/>
          <w:color w:val="000000"/>
        </w:rPr>
        <w:t xml:space="preserve"> Isto tako, planira se vođenje pune Objedinjene glavne knjige od 01. siječnja 2026. godine.</w:t>
      </w:r>
    </w:p>
    <w:p w14:paraId="6D141CF8" w14:textId="77777777" w:rsidR="00291FF3" w:rsidRDefault="00291FF3" w:rsidP="00AC6F8E">
      <w:pPr>
        <w:rPr>
          <w:rFonts w:cs="Times New Roman"/>
          <w:color w:val="000000"/>
        </w:rPr>
      </w:pPr>
    </w:p>
    <w:p w14:paraId="4EFDDF0D" w14:textId="70B41311" w:rsidR="00291FF3" w:rsidRPr="00AC6F8E" w:rsidRDefault="00291FF3" w:rsidP="00AC6F8E">
      <w:pPr>
        <w:rPr>
          <w:rFonts w:cs="Times New Roman"/>
          <w:color w:val="000000"/>
        </w:rPr>
      </w:pPr>
      <w:r>
        <w:rPr>
          <w:rFonts w:cs="Times New Roman"/>
          <w:color w:val="000000"/>
        </w:rPr>
        <w:t>O daljnjim koracima kao i donošenju potrebnih Odluka za uspostavljanje riznice</w:t>
      </w:r>
      <w:r w:rsidR="00E06A8C">
        <w:rPr>
          <w:rFonts w:cs="Times New Roman"/>
          <w:color w:val="000000"/>
        </w:rPr>
        <w:t>, Općina Starigrad će pravodobno obavijestiti svog proračunskog korisnika.</w:t>
      </w:r>
    </w:p>
    <w:p w14:paraId="68D7B9C6" w14:textId="77777777" w:rsidR="00C907FD" w:rsidRDefault="00C907FD" w:rsidP="008C29E9">
      <w:pPr>
        <w:jc w:val="center"/>
        <w:rPr>
          <w:rFonts w:cs="Times New Roman"/>
          <w:b/>
          <w:bCs/>
          <w:color w:val="000000"/>
        </w:rPr>
      </w:pPr>
    </w:p>
    <w:p w14:paraId="7BCB63D8" w14:textId="20EE920F" w:rsidR="00677B0D" w:rsidRPr="008C29E9" w:rsidRDefault="001077A6" w:rsidP="008C29E9">
      <w:pPr>
        <w:jc w:val="center"/>
        <w:rPr>
          <w:rFonts w:cs="Times New Roman"/>
          <w:b/>
          <w:bCs/>
          <w:color w:val="000000"/>
        </w:rPr>
      </w:pPr>
      <w:r>
        <w:rPr>
          <w:rFonts w:cs="Times New Roman"/>
          <w:b/>
          <w:bCs/>
          <w:color w:val="000000"/>
        </w:rPr>
        <w:t>5</w:t>
      </w:r>
      <w:r w:rsidR="008C29E9" w:rsidRPr="008C29E9">
        <w:rPr>
          <w:rFonts w:cs="Times New Roman"/>
          <w:b/>
          <w:bCs/>
          <w:color w:val="000000"/>
        </w:rPr>
        <w:t>. OPIS PLANIRANIH POLITIKA OPĆINE STARIGRAD</w:t>
      </w:r>
    </w:p>
    <w:p w14:paraId="44C23E25" w14:textId="77777777" w:rsidR="008C29E9" w:rsidRDefault="008C29E9" w:rsidP="00072D82">
      <w:pPr>
        <w:rPr>
          <w:rFonts w:cs="Times New Roman"/>
          <w:bCs/>
          <w:color w:val="000000"/>
        </w:rPr>
      </w:pPr>
    </w:p>
    <w:p w14:paraId="6AD6E1D6" w14:textId="77777777" w:rsidR="008C29E9" w:rsidRDefault="008C29E9" w:rsidP="00072D82">
      <w:pPr>
        <w:rPr>
          <w:rFonts w:cs="Times New Roman"/>
          <w:bCs/>
          <w:color w:val="000000"/>
        </w:rPr>
      </w:pPr>
    </w:p>
    <w:p w14:paraId="50A2CB1F" w14:textId="77777777" w:rsidR="008C29E9" w:rsidRDefault="008C29E9" w:rsidP="008C29E9">
      <w:pPr>
        <w:pStyle w:val="Tabletext"/>
        <w:ind w:hanging="15"/>
        <w:jc w:val="both"/>
        <w:rPr>
          <w:rFonts w:cs="Times New Roman"/>
          <w:kern w:val="2"/>
          <w:szCs w:val="24"/>
        </w:rPr>
      </w:pPr>
      <w:r>
        <w:rPr>
          <w:rFonts w:cs="Times New Roman"/>
          <w:szCs w:val="24"/>
        </w:rPr>
        <w:t xml:space="preserve">Osnovni ciljevi u provođenju politika Općine Starigrad, čije je ostvarivanje u funkciji razvoja cjelokupnog područja, kao i porasta životnog standarda stanovništva su: </w:t>
      </w:r>
    </w:p>
    <w:p w14:paraId="1057522F" w14:textId="77777777" w:rsidR="008C29E9" w:rsidRDefault="008C29E9" w:rsidP="008C29E9">
      <w:pPr>
        <w:pStyle w:val="Tabletext"/>
        <w:ind w:hanging="15"/>
        <w:rPr>
          <w:rFonts w:cs="Times New Roman"/>
          <w:szCs w:val="24"/>
        </w:rPr>
      </w:pPr>
    </w:p>
    <w:p w14:paraId="00F89A76" w14:textId="77777777" w:rsidR="008C29E9" w:rsidRDefault="008C29E9" w:rsidP="008C29E9">
      <w:pPr>
        <w:numPr>
          <w:ilvl w:val="0"/>
          <w:numId w:val="13"/>
        </w:numPr>
      </w:pPr>
      <w:r>
        <w:t>Porast zapošljavanja</w:t>
      </w:r>
    </w:p>
    <w:p w14:paraId="5C4A5BFC" w14:textId="77777777" w:rsidR="008C29E9" w:rsidRDefault="008C29E9" w:rsidP="008C29E9">
      <w:pPr>
        <w:numPr>
          <w:ilvl w:val="0"/>
          <w:numId w:val="13"/>
        </w:numPr>
      </w:pPr>
      <w:r>
        <w:t>Porast životnog standarda kroz daljnji razvoj prometne i komunalne infrastrukture</w:t>
      </w:r>
    </w:p>
    <w:p w14:paraId="2BB7B874" w14:textId="77777777" w:rsidR="008C29E9" w:rsidRDefault="008C29E9" w:rsidP="008C29E9">
      <w:pPr>
        <w:numPr>
          <w:ilvl w:val="0"/>
          <w:numId w:val="13"/>
        </w:numPr>
      </w:pPr>
      <w:r>
        <w:t>Stvaranje pretpostavki za daljnji razvoj turizma</w:t>
      </w:r>
    </w:p>
    <w:p w14:paraId="422BFA48" w14:textId="77777777" w:rsidR="008C29E9" w:rsidRDefault="008C29E9" w:rsidP="008C29E9">
      <w:pPr>
        <w:numPr>
          <w:ilvl w:val="0"/>
          <w:numId w:val="13"/>
        </w:numPr>
      </w:pPr>
      <w:r>
        <w:t xml:space="preserve">Briga o zdravlju, obrazovanju i socijalnoj sigurnosti građana </w:t>
      </w:r>
    </w:p>
    <w:p w14:paraId="2C2D6237" w14:textId="77777777" w:rsidR="008C29E9" w:rsidRDefault="008C29E9" w:rsidP="008C29E9">
      <w:pPr>
        <w:numPr>
          <w:ilvl w:val="0"/>
          <w:numId w:val="13"/>
        </w:numPr>
      </w:pPr>
      <w:r>
        <w:t>Promoviranje i poticanje kulture, sporta, tehničke kulture, vatrogastva i drugih društvenih aktivnosti</w:t>
      </w:r>
    </w:p>
    <w:p w14:paraId="641DAB73" w14:textId="77777777" w:rsidR="008C29E9" w:rsidRDefault="008C29E9" w:rsidP="008C29E9">
      <w:pPr>
        <w:numPr>
          <w:ilvl w:val="0"/>
          <w:numId w:val="13"/>
        </w:numPr>
      </w:pPr>
      <w:r>
        <w:t>Prostorno-planski razvoj, zaštita okoliša i kulturnih dobara</w:t>
      </w:r>
    </w:p>
    <w:p w14:paraId="614741F4" w14:textId="77777777" w:rsidR="008C29E9" w:rsidRPr="00BF0967" w:rsidRDefault="008C29E9" w:rsidP="008C29E9">
      <w:pPr>
        <w:numPr>
          <w:ilvl w:val="0"/>
          <w:numId w:val="13"/>
        </w:numPr>
      </w:pPr>
      <w:r>
        <w:t>Uspostava sustava odgovornog, učinkovitog i transparentnog upravljanja proračunskim sredstvima sukladno Zakonu o fiskalnoj odgovornosti</w:t>
      </w:r>
    </w:p>
    <w:p w14:paraId="05BA0C0E" w14:textId="77777777" w:rsidR="008C29E9" w:rsidRDefault="008C29E9" w:rsidP="00072D82">
      <w:pPr>
        <w:rPr>
          <w:rFonts w:cs="Times New Roman"/>
          <w:bCs/>
          <w:color w:val="000000"/>
        </w:rPr>
      </w:pPr>
    </w:p>
    <w:p w14:paraId="4D6D2377" w14:textId="7C312EBB" w:rsidR="008C29E9" w:rsidRDefault="008C29E9" w:rsidP="00072D82">
      <w:pPr>
        <w:rPr>
          <w:rFonts w:cs="Times New Roman"/>
          <w:bCs/>
          <w:color w:val="000000"/>
        </w:rPr>
      </w:pPr>
      <w:r>
        <w:rPr>
          <w:rFonts w:cs="Times New Roman"/>
          <w:bCs/>
          <w:color w:val="000000"/>
        </w:rPr>
        <w:t>Provedbenim programom Općine Starigrad za razdoblje 202</w:t>
      </w:r>
      <w:r w:rsidR="00D91BEA">
        <w:rPr>
          <w:rFonts w:cs="Times New Roman"/>
          <w:bCs/>
          <w:color w:val="000000"/>
        </w:rPr>
        <w:t>5</w:t>
      </w:r>
      <w:r>
        <w:rPr>
          <w:rFonts w:cs="Times New Roman"/>
          <w:bCs/>
          <w:color w:val="000000"/>
        </w:rPr>
        <w:t>.-202</w:t>
      </w:r>
      <w:r w:rsidR="00D91BEA">
        <w:rPr>
          <w:rFonts w:cs="Times New Roman"/>
          <w:bCs/>
          <w:color w:val="000000"/>
        </w:rPr>
        <w:t>9</w:t>
      </w:r>
      <w:r>
        <w:rPr>
          <w:rFonts w:cs="Times New Roman"/>
          <w:bCs/>
          <w:color w:val="000000"/>
        </w:rPr>
        <w:t>.</w:t>
      </w:r>
      <w:r w:rsidR="00D91BEA">
        <w:rPr>
          <w:rFonts w:cs="Times New Roman"/>
          <w:bCs/>
          <w:color w:val="000000"/>
        </w:rPr>
        <w:t xml:space="preserve">, a koja je donijeta 15. listopada 2025. godine (dostupno na linku: </w:t>
      </w:r>
      <w:r w:rsidR="00D91BEA" w:rsidRPr="00D91BEA">
        <w:rPr>
          <w:rFonts w:cs="Times New Roman"/>
          <w:bCs/>
          <w:color w:val="000000"/>
        </w:rPr>
        <w:t>https://www.opcina-starigrad.hr/strateski-planovi-i-dokumenti/</w:t>
      </w:r>
      <w:r w:rsidR="00D91BEA">
        <w:rPr>
          <w:rFonts w:cs="Times New Roman"/>
          <w:bCs/>
          <w:color w:val="000000"/>
        </w:rPr>
        <w:t>),</w:t>
      </w:r>
      <w:r>
        <w:rPr>
          <w:rFonts w:cs="Times New Roman"/>
          <w:bCs/>
          <w:color w:val="000000"/>
        </w:rPr>
        <w:t xml:space="preserve"> definirani su prioriteti djelovanja Općine Starigrad i to:</w:t>
      </w:r>
    </w:p>
    <w:p w14:paraId="6EF676C7" w14:textId="77777777" w:rsidR="008C29E9" w:rsidRDefault="008C29E9" w:rsidP="00072D82"/>
    <w:p w14:paraId="00379560" w14:textId="77777777" w:rsidR="008C29E9" w:rsidRPr="008C29E9" w:rsidRDefault="008C29E9" w:rsidP="008C29E9">
      <w:pPr>
        <w:pStyle w:val="ListParagraph"/>
        <w:numPr>
          <w:ilvl w:val="0"/>
          <w:numId w:val="28"/>
        </w:numPr>
        <w:rPr>
          <w:rFonts w:cs="Times New Roman"/>
          <w:bCs/>
          <w:color w:val="000000"/>
        </w:rPr>
      </w:pPr>
      <w:r>
        <w:t>Prioritet 1. Razvoj poticajnog poslovnog okruženja za održivo i konkurentno gospodarstvo</w:t>
      </w:r>
    </w:p>
    <w:p w14:paraId="6F6A38B2" w14:textId="77777777" w:rsidR="008C29E9" w:rsidRPr="008C29E9" w:rsidRDefault="008C29E9" w:rsidP="008C29E9">
      <w:pPr>
        <w:pStyle w:val="ListParagraph"/>
        <w:numPr>
          <w:ilvl w:val="0"/>
          <w:numId w:val="28"/>
        </w:numPr>
        <w:rPr>
          <w:rFonts w:cs="Times New Roman"/>
          <w:bCs/>
          <w:color w:val="000000"/>
        </w:rPr>
      </w:pPr>
      <w:r>
        <w:t>Prioritet 2. Unaprjeđenje dostupnosti društvene infrastrukture i usluga za unaprjeđenje kvalitete života</w:t>
      </w:r>
    </w:p>
    <w:p w14:paraId="590E070A" w14:textId="77777777" w:rsidR="008C29E9" w:rsidRPr="008C29E9" w:rsidRDefault="008C29E9" w:rsidP="008C29E9">
      <w:pPr>
        <w:pStyle w:val="ListParagraph"/>
        <w:numPr>
          <w:ilvl w:val="0"/>
          <w:numId w:val="28"/>
        </w:numPr>
        <w:rPr>
          <w:rFonts w:cs="Times New Roman"/>
          <w:bCs/>
          <w:color w:val="000000"/>
        </w:rPr>
      </w:pPr>
      <w:r>
        <w:t>Prioritet 3. Razvoj sustava za pametno i održivo upravljanje resursima i zaštitu okoliša</w:t>
      </w:r>
    </w:p>
    <w:p w14:paraId="0A30F4F6" w14:textId="77777777" w:rsidR="008C29E9" w:rsidRPr="008C29E9" w:rsidRDefault="008C29E9" w:rsidP="008C29E9">
      <w:pPr>
        <w:pStyle w:val="ListParagraph"/>
        <w:numPr>
          <w:ilvl w:val="0"/>
          <w:numId w:val="28"/>
        </w:numPr>
        <w:rPr>
          <w:rFonts w:cs="Times New Roman"/>
          <w:bCs/>
          <w:color w:val="000000"/>
        </w:rPr>
      </w:pPr>
      <w:r>
        <w:t>Prioritet 4. Optimizacija i unaprjeđenje usluga i procesa za razvoj pametne Općine</w:t>
      </w:r>
    </w:p>
    <w:p w14:paraId="13322B2E" w14:textId="77777777" w:rsidR="008C29E9" w:rsidRDefault="008C29E9" w:rsidP="008C29E9">
      <w:pPr>
        <w:rPr>
          <w:rFonts w:cs="Times New Roman"/>
          <w:bCs/>
          <w:color w:val="000000"/>
        </w:rPr>
      </w:pPr>
    </w:p>
    <w:p w14:paraId="04FF88B7" w14:textId="77777777" w:rsidR="00C2039A" w:rsidRDefault="00C2039A" w:rsidP="00C2039A">
      <w:pPr>
        <w:rPr>
          <w:rFonts w:cs="Times New Roman"/>
        </w:rPr>
      </w:pPr>
      <w:r w:rsidRPr="00BA4638">
        <w:rPr>
          <w:rFonts w:cs="Times New Roman"/>
        </w:rPr>
        <w:t xml:space="preserve">U okviru četiri razvojna prioriteta definirane su mjere, aktivnosti i pokazatelji kroz koje će Općina Starigrad pratiti uspješnost vlastitog strateškog planiranja i upravljanja unutar Provedbenog programa Općine Starigrad za razdoblje od 2025. do 2029. godine. </w:t>
      </w:r>
    </w:p>
    <w:p w14:paraId="5A2C8183" w14:textId="77777777" w:rsidR="00C2039A" w:rsidRPr="00F14AFA" w:rsidRDefault="00C2039A" w:rsidP="00C2039A">
      <w:pPr>
        <w:rPr>
          <w:rFonts w:cs="Times New Roman"/>
        </w:rPr>
      </w:pPr>
      <w:r w:rsidRPr="00BA4638">
        <w:rPr>
          <w:rFonts w:cs="Times New Roman"/>
        </w:rPr>
        <w:t>Svaka mjera predviđa aktivnosti koje će se mjeriti kroz definirane pokazatelje rezultata te utvrđene polazišne i ciljane vrijednosti za određeni pokazatelj rezultata. U skladu s tim, strateški okvir Provedbenog programa povezuje se s proračunom Općine Starigrad.</w:t>
      </w:r>
    </w:p>
    <w:p w14:paraId="0CF02693" w14:textId="77777777" w:rsidR="004B2719" w:rsidRDefault="004B2719" w:rsidP="00072D82">
      <w:pPr>
        <w:rPr>
          <w:rFonts w:cs="Times New Roman"/>
          <w:bCs/>
          <w:color w:val="000000"/>
        </w:rPr>
      </w:pPr>
    </w:p>
    <w:p w14:paraId="740499A9" w14:textId="77777777" w:rsidR="004B2719" w:rsidRDefault="004B2719" w:rsidP="00072D82">
      <w:pPr>
        <w:rPr>
          <w:rFonts w:cs="Times New Roman"/>
          <w:bCs/>
          <w:color w:val="000000"/>
        </w:rPr>
      </w:pPr>
    </w:p>
    <w:p w14:paraId="6F87D470" w14:textId="77777777" w:rsidR="004B2719" w:rsidRPr="004B2719" w:rsidRDefault="001077A6" w:rsidP="004B2719">
      <w:pPr>
        <w:jc w:val="center"/>
        <w:rPr>
          <w:rFonts w:cs="Times New Roman"/>
          <w:b/>
          <w:bCs/>
          <w:color w:val="000000"/>
        </w:rPr>
      </w:pPr>
      <w:r>
        <w:rPr>
          <w:rFonts w:cs="Times New Roman"/>
          <w:b/>
          <w:bCs/>
          <w:color w:val="000000"/>
        </w:rPr>
        <w:t>6</w:t>
      </w:r>
      <w:r w:rsidR="004B2719" w:rsidRPr="004B2719">
        <w:rPr>
          <w:rFonts w:cs="Times New Roman"/>
          <w:b/>
          <w:bCs/>
          <w:color w:val="000000"/>
        </w:rPr>
        <w:t>. PROCJENA PRIHODA I RASHODA TE PRIMITAKA I IZDATAKA</w:t>
      </w:r>
    </w:p>
    <w:p w14:paraId="48EDCA31" w14:textId="77777777" w:rsidR="004B2719" w:rsidRDefault="004B2719" w:rsidP="004B2719">
      <w:pPr>
        <w:jc w:val="center"/>
        <w:rPr>
          <w:rFonts w:cs="Times New Roman"/>
          <w:b/>
          <w:bCs/>
          <w:color w:val="000000"/>
        </w:rPr>
      </w:pPr>
      <w:r w:rsidRPr="004B2719">
        <w:rPr>
          <w:rFonts w:cs="Times New Roman"/>
          <w:b/>
          <w:bCs/>
          <w:color w:val="000000"/>
        </w:rPr>
        <w:t>PRORAČUNA OPĆINE STARIGRAD U SLJEDEĆE TRI GODINE</w:t>
      </w:r>
    </w:p>
    <w:p w14:paraId="65729D3B" w14:textId="77777777" w:rsidR="00072D82" w:rsidRDefault="00072D82" w:rsidP="00072D82">
      <w:pPr>
        <w:rPr>
          <w:rFonts w:cs="Arial"/>
          <w:color w:val="000000"/>
        </w:rPr>
      </w:pPr>
    </w:p>
    <w:p w14:paraId="7906BBB1" w14:textId="77777777" w:rsidR="00072D82" w:rsidRPr="00AE5062" w:rsidRDefault="00072D82" w:rsidP="00072D82">
      <w:pPr>
        <w:rPr>
          <w:rFonts w:cs="Arial"/>
          <w:color w:val="000000"/>
        </w:rPr>
      </w:pPr>
      <w:r w:rsidRPr="00AE5062">
        <w:rPr>
          <w:rFonts w:cs="Arial"/>
          <w:color w:val="000000"/>
        </w:rPr>
        <w:t>Prihodi jedinica lokalne i područne (regionalne) samouprav</w:t>
      </w:r>
      <w:r>
        <w:rPr>
          <w:rFonts w:cs="Arial"/>
          <w:color w:val="000000"/>
        </w:rPr>
        <w:t xml:space="preserve">e planiraju se na temelju istih </w:t>
      </w:r>
      <w:r w:rsidRPr="00AE5062">
        <w:rPr>
          <w:rFonts w:cs="Arial"/>
          <w:color w:val="000000"/>
        </w:rPr>
        <w:t xml:space="preserve">makroekonomskih pretpostavki kao i kod prihoda državnog </w:t>
      </w:r>
      <w:r>
        <w:rPr>
          <w:rFonts w:cs="Arial"/>
          <w:color w:val="000000"/>
        </w:rPr>
        <w:t xml:space="preserve">proračuna, u skladu s trenutnim </w:t>
      </w:r>
      <w:r w:rsidRPr="00AE5062">
        <w:rPr>
          <w:rFonts w:cs="Arial"/>
          <w:color w:val="000000"/>
        </w:rPr>
        <w:lastRenderedPageBreak/>
        <w:t>kretanjima i makroekonomskim projekcijama za spomenuto razdoblje.</w:t>
      </w:r>
    </w:p>
    <w:p w14:paraId="125B7EA6" w14:textId="77777777" w:rsidR="00072D82" w:rsidRDefault="00072D82" w:rsidP="00072D82">
      <w:pPr>
        <w:rPr>
          <w:rFonts w:cs="Arial"/>
          <w:color w:val="000000"/>
        </w:rPr>
      </w:pPr>
    </w:p>
    <w:p w14:paraId="5B1657D5" w14:textId="55B1A214" w:rsidR="008850E8" w:rsidRDefault="00072D82">
      <w:pPr>
        <w:rPr>
          <w:rFonts w:cs="Arial"/>
          <w:color w:val="000000"/>
        </w:rPr>
      </w:pPr>
      <w:r w:rsidRPr="00AE5062">
        <w:rPr>
          <w:rFonts w:cs="Arial"/>
          <w:color w:val="000000"/>
        </w:rPr>
        <w:t xml:space="preserve">Očekuje se da će u naredne tri godine </w:t>
      </w:r>
      <w:r>
        <w:rPr>
          <w:rFonts w:cs="Arial"/>
          <w:color w:val="000000"/>
        </w:rPr>
        <w:t xml:space="preserve">prihodi </w:t>
      </w:r>
      <w:r w:rsidRPr="00AE5062">
        <w:rPr>
          <w:rFonts w:cs="Arial"/>
          <w:color w:val="000000"/>
        </w:rPr>
        <w:t>od imovine biti na razini Pr</w:t>
      </w:r>
      <w:r>
        <w:rPr>
          <w:rFonts w:cs="Arial"/>
          <w:color w:val="000000"/>
        </w:rPr>
        <w:t>oračuna Općine Starigrad za 20</w:t>
      </w:r>
      <w:r w:rsidR="00A2740F">
        <w:rPr>
          <w:rFonts w:cs="Arial"/>
          <w:color w:val="000000"/>
        </w:rPr>
        <w:t>2</w:t>
      </w:r>
      <w:r w:rsidR="006B177C">
        <w:rPr>
          <w:rFonts w:cs="Arial"/>
          <w:color w:val="000000"/>
        </w:rPr>
        <w:t>5</w:t>
      </w:r>
      <w:r w:rsidRPr="00AE5062">
        <w:rPr>
          <w:rFonts w:cs="Arial"/>
          <w:color w:val="000000"/>
        </w:rPr>
        <w:t xml:space="preserve">. godinu. </w:t>
      </w:r>
      <w:r w:rsidR="002D4BB7">
        <w:rPr>
          <w:rFonts w:cs="Arial"/>
          <w:color w:val="000000"/>
        </w:rPr>
        <w:t xml:space="preserve">Prihodi od poreza očekuju se u većem iznosu s obzirom na </w:t>
      </w:r>
      <w:r w:rsidR="006F6E73">
        <w:rPr>
          <w:rFonts w:cs="Arial"/>
          <w:color w:val="000000"/>
        </w:rPr>
        <w:t xml:space="preserve">povoljnije makroekonomske uvjete, bolju zaposlenost i konzistentan rast prihoda od poreza u posljednjih 8 proračunskih godina. </w:t>
      </w:r>
      <w:r w:rsidR="002B3568">
        <w:rPr>
          <w:rFonts w:cs="Arial"/>
          <w:color w:val="000000"/>
        </w:rPr>
        <w:t xml:space="preserve">Prihodi od pomoći ovise o uspješnosti apliciranja na natječaje Ministarstava i fondova EU, te stoga u ovoj fazi planiranje istih prati neizvjesnost ostvarenja. </w:t>
      </w:r>
    </w:p>
    <w:p w14:paraId="31755950" w14:textId="77777777" w:rsidR="00105173" w:rsidRDefault="00105173">
      <w:pPr>
        <w:rPr>
          <w:rFonts w:cs="Arial"/>
          <w:color w:val="000000"/>
        </w:rPr>
      </w:pPr>
    </w:p>
    <w:p w14:paraId="033462B2" w14:textId="17A1B931" w:rsidR="001111B0" w:rsidRPr="004B2719" w:rsidRDefault="00072D82">
      <w:pPr>
        <w:rPr>
          <w:rStyle w:val="fontstyle01"/>
          <w:rFonts w:ascii="Times New Roman" w:hAnsi="Times New Roman" w:cs="Arial"/>
        </w:rPr>
      </w:pPr>
      <w:r w:rsidRPr="00AE5062">
        <w:rPr>
          <w:rFonts w:cs="Arial"/>
          <w:color w:val="000000"/>
        </w:rPr>
        <w:t>Bitno je istaknuti da pri izradi proračuna jedinica lokalne i podru</w:t>
      </w:r>
      <w:r>
        <w:rPr>
          <w:rFonts w:cs="Arial"/>
          <w:color w:val="000000"/>
        </w:rPr>
        <w:t xml:space="preserve">čne (regionalne) samouprave, uz </w:t>
      </w:r>
      <w:r w:rsidRPr="00AE5062">
        <w:rPr>
          <w:rFonts w:cs="Arial"/>
          <w:color w:val="000000"/>
        </w:rPr>
        <w:t>smjernice kretanja prihoda i rashoda, svaka jedinica samouprave iz</w:t>
      </w:r>
      <w:r>
        <w:rPr>
          <w:rFonts w:cs="Arial"/>
          <w:color w:val="000000"/>
        </w:rPr>
        <w:t xml:space="preserve">rađuje plan rashoda uzimajući u </w:t>
      </w:r>
      <w:r w:rsidRPr="00AE5062">
        <w:rPr>
          <w:rFonts w:cs="Arial"/>
          <w:color w:val="000000"/>
        </w:rPr>
        <w:t>obzir vlastite gospodarske i društvene specifičnosti te pridržavajući</w:t>
      </w:r>
      <w:r>
        <w:rPr>
          <w:rFonts w:cs="Arial"/>
          <w:color w:val="000000"/>
        </w:rPr>
        <w:t xml:space="preserve"> se Zakona o proračunu i Zakona </w:t>
      </w:r>
      <w:r w:rsidRPr="00AE5062">
        <w:rPr>
          <w:rFonts w:cs="Arial"/>
          <w:color w:val="000000"/>
        </w:rPr>
        <w:t>o fiskalnoj odgovornosti.</w:t>
      </w:r>
      <w:r>
        <w:rPr>
          <w:rFonts w:cs="Arial"/>
          <w:color w:val="000000"/>
        </w:rPr>
        <w:t xml:space="preserve"> Uz redovite rashode i izdatke, nastavit će se realizacija planiranih i započetih projekata kroz naredne godine, bilo radovima ili izradama projektnih dokumentacija</w:t>
      </w:r>
      <w:r w:rsidR="00562347">
        <w:rPr>
          <w:rFonts w:cs="Arial"/>
          <w:color w:val="000000"/>
        </w:rPr>
        <w:t>.</w:t>
      </w:r>
    </w:p>
    <w:p w14:paraId="0B3B5085" w14:textId="77777777" w:rsidR="00562347" w:rsidRPr="00E02BC6" w:rsidRDefault="00562347" w:rsidP="003C6BB9">
      <w:pPr>
        <w:tabs>
          <w:tab w:val="left" w:pos="0"/>
        </w:tabs>
        <w:rPr>
          <w:rFonts w:cs="Arial"/>
          <w:bCs/>
        </w:rPr>
      </w:pPr>
    </w:p>
    <w:p w14:paraId="1DD9173D" w14:textId="77777777" w:rsidR="00052B1B" w:rsidRDefault="00052B1B">
      <w:pPr>
        <w:tabs>
          <w:tab w:val="left" w:pos="0"/>
        </w:tabs>
        <w:jc w:val="center"/>
        <w:rPr>
          <w:rFonts w:cs="Arial"/>
          <w:b/>
          <w:bCs/>
        </w:rPr>
      </w:pPr>
    </w:p>
    <w:p w14:paraId="2C5D4A61" w14:textId="77777777" w:rsidR="00A52639" w:rsidRDefault="001077A6">
      <w:pPr>
        <w:tabs>
          <w:tab w:val="left" w:pos="0"/>
        </w:tabs>
        <w:jc w:val="center"/>
        <w:rPr>
          <w:rFonts w:cs="Arial"/>
          <w:b/>
          <w:bCs/>
        </w:rPr>
      </w:pPr>
      <w:r>
        <w:rPr>
          <w:rFonts w:cs="Arial"/>
          <w:b/>
          <w:bCs/>
        </w:rPr>
        <w:t>7</w:t>
      </w:r>
      <w:r w:rsidR="00A52639">
        <w:rPr>
          <w:rFonts w:cs="Arial"/>
          <w:b/>
          <w:bCs/>
        </w:rPr>
        <w:t xml:space="preserve">. TERMINSKI PLAN ZA IZRADU PRORAČUNA I PRIJEDLOGA FINANCIJSKOG PLANA PRORAČUNSKOG KORISNIKA OPĆINE STARIGRAD </w:t>
      </w:r>
    </w:p>
    <w:p w14:paraId="11FB43EB" w14:textId="77777777" w:rsidR="00A52639" w:rsidRDefault="00A52639">
      <w:pPr>
        <w:tabs>
          <w:tab w:val="left" w:pos="0"/>
        </w:tabs>
        <w:jc w:val="center"/>
        <w:rPr>
          <w:rFonts w:cs="Arial"/>
          <w:b/>
          <w:bCs/>
        </w:rPr>
      </w:pPr>
    </w:p>
    <w:p w14:paraId="6F6953F0" w14:textId="040E8132" w:rsidR="00A52639" w:rsidRDefault="006E196C">
      <w:pPr>
        <w:tabs>
          <w:tab w:val="left" w:pos="0"/>
        </w:tabs>
        <w:rPr>
          <w:rFonts w:cs="Arial"/>
        </w:rPr>
      </w:pPr>
      <w:r w:rsidRPr="006E196C">
        <w:rPr>
          <w:rFonts w:cs="Arial"/>
        </w:rPr>
        <w:t>Proračunsk</w:t>
      </w:r>
      <w:r w:rsidR="00E65A2F">
        <w:rPr>
          <w:rFonts w:cs="Arial"/>
        </w:rPr>
        <w:t>i</w:t>
      </w:r>
      <w:r w:rsidRPr="006E196C">
        <w:rPr>
          <w:rFonts w:cs="Arial"/>
        </w:rPr>
        <w:t xml:space="preserve"> korisni</w:t>
      </w:r>
      <w:r w:rsidR="00562347">
        <w:rPr>
          <w:rFonts w:cs="Arial"/>
        </w:rPr>
        <w:t>k</w:t>
      </w:r>
      <w:r w:rsidRPr="006E196C">
        <w:rPr>
          <w:rFonts w:cs="Arial"/>
        </w:rPr>
        <w:t xml:space="preserve"> Općine </w:t>
      </w:r>
      <w:r>
        <w:rPr>
          <w:rFonts w:cs="Arial"/>
        </w:rPr>
        <w:t>Starigrad</w:t>
      </w:r>
      <w:r w:rsidRPr="006E196C">
        <w:rPr>
          <w:rFonts w:cs="Arial"/>
        </w:rPr>
        <w:t xml:space="preserve"> duž</w:t>
      </w:r>
      <w:r w:rsidR="00562347">
        <w:rPr>
          <w:rFonts w:cs="Arial"/>
        </w:rPr>
        <w:t xml:space="preserve">an je </w:t>
      </w:r>
      <w:r w:rsidRPr="006E196C">
        <w:rPr>
          <w:rFonts w:cs="Arial"/>
        </w:rPr>
        <w:t>dostaviti prijedloge svo</w:t>
      </w:r>
      <w:r w:rsidR="00562347">
        <w:rPr>
          <w:rFonts w:cs="Arial"/>
        </w:rPr>
        <w:t>g</w:t>
      </w:r>
      <w:r w:rsidRPr="006E196C">
        <w:rPr>
          <w:rFonts w:cs="Arial"/>
        </w:rPr>
        <w:t xml:space="preserve"> financijsk</w:t>
      </w:r>
      <w:r w:rsidR="00562347">
        <w:rPr>
          <w:rFonts w:cs="Arial"/>
        </w:rPr>
        <w:t>og</w:t>
      </w:r>
      <w:r w:rsidRPr="006E196C">
        <w:rPr>
          <w:rFonts w:cs="Arial"/>
        </w:rPr>
        <w:t xml:space="preserve"> plan</w:t>
      </w:r>
      <w:r w:rsidR="00562347">
        <w:rPr>
          <w:rFonts w:cs="Arial"/>
        </w:rPr>
        <w:t>a</w:t>
      </w:r>
      <w:r w:rsidRPr="006E196C">
        <w:rPr>
          <w:rFonts w:cs="Arial"/>
        </w:rPr>
        <w:t xml:space="preserve"> </w:t>
      </w:r>
      <w:r>
        <w:rPr>
          <w:rFonts w:cs="Arial"/>
        </w:rPr>
        <w:t>Općini Starigrad</w:t>
      </w:r>
      <w:r w:rsidR="00827C22">
        <w:rPr>
          <w:rFonts w:cs="Arial"/>
        </w:rPr>
        <w:t xml:space="preserve"> do </w:t>
      </w:r>
      <w:r w:rsidR="0077230C">
        <w:rPr>
          <w:rFonts w:cs="Arial"/>
        </w:rPr>
        <w:t>31</w:t>
      </w:r>
      <w:r w:rsidRPr="006E196C">
        <w:rPr>
          <w:rFonts w:cs="Arial"/>
        </w:rPr>
        <w:t>.</w:t>
      </w:r>
      <w:r>
        <w:rPr>
          <w:rFonts w:cs="Arial"/>
        </w:rPr>
        <w:t xml:space="preserve"> </w:t>
      </w:r>
      <w:r w:rsidR="0077230C">
        <w:rPr>
          <w:rFonts w:cs="Arial"/>
        </w:rPr>
        <w:t>listopada</w:t>
      </w:r>
      <w:r>
        <w:rPr>
          <w:rFonts w:cs="Arial"/>
        </w:rPr>
        <w:t xml:space="preserve"> 202</w:t>
      </w:r>
      <w:r w:rsidR="0077230C">
        <w:rPr>
          <w:rFonts w:cs="Arial"/>
        </w:rPr>
        <w:t>5</w:t>
      </w:r>
      <w:r>
        <w:rPr>
          <w:rFonts w:cs="Arial"/>
        </w:rPr>
        <w:t>. godine</w:t>
      </w:r>
      <w:r w:rsidRPr="006E196C">
        <w:rPr>
          <w:rFonts w:cs="Arial"/>
        </w:rPr>
        <w:t xml:space="preserve">. </w:t>
      </w:r>
      <w:r w:rsidR="00562347">
        <w:rPr>
          <w:rFonts w:cs="Arial"/>
        </w:rPr>
        <w:t>Financijski plan</w:t>
      </w:r>
      <w:r w:rsidRPr="006E196C">
        <w:rPr>
          <w:rFonts w:cs="Arial"/>
        </w:rPr>
        <w:t xml:space="preserve"> mora biti izrađen sukladno propisanoj metodologiji i financijskim okvirima zadanim ovim Uputama.</w:t>
      </w:r>
    </w:p>
    <w:p w14:paraId="36C62446" w14:textId="77777777" w:rsidR="006E196C" w:rsidRDefault="006E196C">
      <w:pPr>
        <w:tabs>
          <w:tab w:val="left" w:pos="0"/>
        </w:tabs>
        <w:rPr>
          <w:rFonts w:cs="Arial"/>
        </w:rPr>
      </w:pPr>
    </w:p>
    <w:p w14:paraId="6A6A59E2" w14:textId="73BD5872" w:rsidR="00A52639" w:rsidRDefault="008F152F">
      <w:pPr>
        <w:tabs>
          <w:tab w:val="left" w:pos="0"/>
        </w:tabs>
        <w:rPr>
          <w:rFonts w:cs="Arial"/>
        </w:rPr>
      </w:pPr>
      <w:r>
        <w:rPr>
          <w:rFonts w:cs="Arial"/>
        </w:rPr>
        <w:t>O</w:t>
      </w:r>
      <w:r w:rsidR="00A52639">
        <w:rPr>
          <w:rFonts w:cs="Arial"/>
        </w:rPr>
        <w:t xml:space="preserve">dsjek za financije, gospodarstvo, plan i proračun izrađuje nacrt proračuna za proračunsku godinu i projekciju za slijedeće dvije godine, te ih dostavlja načelniku do </w:t>
      </w:r>
      <w:r w:rsidR="00562347">
        <w:rPr>
          <w:rFonts w:cs="Arial"/>
        </w:rPr>
        <w:t>0</w:t>
      </w:r>
      <w:r w:rsidR="0077230C">
        <w:rPr>
          <w:rFonts w:cs="Arial"/>
        </w:rPr>
        <w:t>7</w:t>
      </w:r>
      <w:r w:rsidR="00562347">
        <w:rPr>
          <w:rFonts w:cs="Arial"/>
        </w:rPr>
        <w:t>. studenog</w:t>
      </w:r>
      <w:r w:rsidR="00A52639">
        <w:rPr>
          <w:rFonts w:cs="Arial"/>
        </w:rPr>
        <w:t xml:space="preserve"> tekuće godine. </w:t>
      </w:r>
    </w:p>
    <w:p w14:paraId="0D0725BF" w14:textId="77777777" w:rsidR="00A52639" w:rsidRDefault="00A52639">
      <w:pPr>
        <w:tabs>
          <w:tab w:val="left" w:pos="0"/>
        </w:tabs>
        <w:rPr>
          <w:rFonts w:cs="Arial"/>
        </w:rPr>
      </w:pPr>
      <w:r>
        <w:rPr>
          <w:rFonts w:cs="Arial"/>
        </w:rPr>
        <w:t xml:space="preserve"> </w:t>
      </w:r>
    </w:p>
    <w:p w14:paraId="663FC06A" w14:textId="3BDE0EA6" w:rsidR="00A52639" w:rsidRDefault="00B17080">
      <w:pPr>
        <w:tabs>
          <w:tab w:val="left" w:pos="0"/>
        </w:tabs>
        <w:rPr>
          <w:rFonts w:cs="Arial"/>
        </w:rPr>
      </w:pPr>
      <w:r>
        <w:rPr>
          <w:rFonts w:cs="Arial"/>
        </w:rPr>
        <w:t>Općinski</w:t>
      </w:r>
      <w:r w:rsidR="00A52639">
        <w:rPr>
          <w:rFonts w:cs="Arial"/>
        </w:rPr>
        <w:t xml:space="preserve"> načelnik utvrđuje prijedlog proračuna i</w:t>
      </w:r>
      <w:r w:rsidR="000D1B09">
        <w:rPr>
          <w:rFonts w:cs="Arial"/>
        </w:rPr>
        <w:t xml:space="preserve"> </w:t>
      </w:r>
      <w:r w:rsidR="00A52639">
        <w:rPr>
          <w:rFonts w:cs="Arial"/>
        </w:rPr>
        <w:t xml:space="preserve">projekcije te ih podnosi </w:t>
      </w:r>
      <w:r w:rsidR="000D1B09">
        <w:rPr>
          <w:rFonts w:cs="Arial"/>
        </w:rPr>
        <w:t>predstavničkom</w:t>
      </w:r>
      <w:r w:rsidR="00A52639">
        <w:rPr>
          <w:rFonts w:cs="Arial"/>
        </w:rPr>
        <w:t xml:space="preserve"> tijelu na donošenje do 1</w:t>
      </w:r>
      <w:r w:rsidR="0077230C">
        <w:rPr>
          <w:rFonts w:cs="Arial"/>
        </w:rPr>
        <w:t>4</w:t>
      </w:r>
      <w:r w:rsidR="00A52639">
        <w:rPr>
          <w:rFonts w:cs="Arial"/>
        </w:rPr>
        <w:t>. studenog tekuće godine.</w:t>
      </w:r>
    </w:p>
    <w:p w14:paraId="36C58CE8" w14:textId="77777777" w:rsidR="00A52639" w:rsidRDefault="00A52639">
      <w:pPr>
        <w:tabs>
          <w:tab w:val="left" w:pos="0"/>
        </w:tabs>
        <w:rPr>
          <w:rFonts w:cs="Arial"/>
        </w:rPr>
      </w:pPr>
    </w:p>
    <w:p w14:paraId="53BB776C" w14:textId="77777777" w:rsidR="00A52639" w:rsidRDefault="00B17080">
      <w:pPr>
        <w:tabs>
          <w:tab w:val="left" w:pos="0"/>
        </w:tabs>
        <w:rPr>
          <w:rFonts w:cs="Arial"/>
        </w:rPr>
      </w:pPr>
      <w:r>
        <w:rPr>
          <w:rFonts w:cs="Arial"/>
        </w:rPr>
        <w:t>Predstavničko</w:t>
      </w:r>
      <w:r w:rsidR="00A52639">
        <w:rPr>
          <w:rFonts w:cs="Arial"/>
        </w:rPr>
        <w:t xml:space="preserve"> tijelo donosi proračun </w:t>
      </w:r>
      <w:r>
        <w:rPr>
          <w:rFonts w:cs="Arial"/>
        </w:rPr>
        <w:t xml:space="preserve">za </w:t>
      </w:r>
      <w:r w:rsidR="00A52639">
        <w:rPr>
          <w:rFonts w:cs="Arial"/>
        </w:rPr>
        <w:t xml:space="preserve">iduću proračunsku godinu i projekciju za sljedeće dvije proračunske godine do konca tekuće godine i to u roku koji omogućuje primjenu proračuna s 1. siječnja godine za koju se odnosi proračun.  </w:t>
      </w:r>
    </w:p>
    <w:p w14:paraId="59E14D97" w14:textId="77777777" w:rsidR="001077A6" w:rsidRDefault="001077A6">
      <w:pPr>
        <w:tabs>
          <w:tab w:val="left" w:pos="0"/>
        </w:tabs>
        <w:rPr>
          <w:rFonts w:cs="Arial"/>
        </w:rPr>
      </w:pPr>
    </w:p>
    <w:p w14:paraId="336A6E27" w14:textId="77777777" w:rsidR="00A52639" w:rsidRDefault="00A52639">
      <w:pPr>
        <w:tabs>
          <w:tab w:val="left" w:pos="0"/>
        </w:tabs>
        <w:rPr>
          <w:rFonts w:cs="Arial"/>
        </w:rPr>
      </w:pPr>
    </w:p>
    <w:p w14:paraId="15108EE9" w14:textId="77777777" w:rsidR="00A52639" w:rsidRDefault="001077A6">
      <w:pPr>
        <w:tabs>
          <w:tab w:val="left" w:pos="0"/>
        </w:tabs>
        <w:jc w:val="center"/>
        <w:rPr>
          <w:rFonts w:cs="Arial"/>
          <w:b/>
          <w:bCs/>
        </w:rPr>
      </w:pPr>
      <w:r>
        <w:rPr>
          <w:rFonts w:cs="Arial"/>
          <w:b/>
          <w:bCs/>
        </w:rPr>
        <w:t>8</w:t>
      </w:r>
      <w:r w:rsidR="000D1B09">
        <w:rPr>
          <w:rFonts w:cs="Arial"/>
          <w:b/>
          <w:bCs/>
        </w:rPr>
        <w:t xml:space="preserve">. </w:t>
      </w:r>
      <w:r w:rsidR="00A52639">
        <w:rPr>
          <w:rFonts w:cs="Arial"/>
          <w:b/>
          <w:bCs/>
        </w:rPr>
        <w:t>DOSTUPNOST MATERIJALA</w:t>
      </w:r>
    </w:p>
    <w:p w14:paraId="374731B9" w14:textId="77777777" w:rsidR="00A52639" w:rsidRDefault="00A52639">
      <w:pPr>
        <w:tabs>
          <w:tab w:val="left" w:pos="0"/>
        </w:tabs>
        <w:rPr>
          <w:rFonts w:cs="Arial"/>
        </w:rPr>
      </w:pPr>
    </w:p>
    <w:p w14:paraId="414B5F12" w14:textId="0D96F614" w:rsidR="00A52639" w:rsidRDefault="00A52639">
      <w:pPr>
        <w:tabs>
          <w:tab w:val="left" w:pos="0"/>
        </w:tabs>
        <w:rPr>
          <w:rFonts w:cs="Arial"/>
        </w:rPr>
      </w:pPr>
      <w:r>
        <w:rPr>
          <w:rFonts w:cs="Arial"/>
        </w:rPr>
        <w:t xml:space="preserve">Na internet stranici Općine Starigrad </w:t>
      </w:r>
      <w:hyperlink r:id="rId10" w:history="1">
        <w:r>
          <w:rPr>
            <w:rStyle w:val="Hyperlink"/>
          </w:rPr>
          <w:t>www.opcina-starigrad.hr</w:t>
        </w:r>
      </w:hyperlink>
      <w:r>
        <w:rPr>
          <w:rFonts w:cs="Arial"/>
        </w:rPr>
        <w:t xml:space="preserve"> nalaze se ove Upute </w:t>
      </w:r>
      <w:r w:rsidR="00B76D8A">
        <w:rPr>
          <w:rFonts w:cs="Arial"/>
        </w:rPr>
        <w:t xml:space="preserve">za izradu proračuna </w:t>
      </w:r>
      <w:r>
        <w:rPr>
          <w:rFonts w:cs="Arial"/>
        </w:rPr>
        <w:t>O</w:t>
      </w:r>
      <w:r w:rsidR="00DF1D30">
        <w:rPr>
          <w:rFonts w:cs="Arial"/>
        </w:rPr>
        <w:t>p</w:t>
      </w:r>
      <w:r w:rsidR="006E196C">
        <w:rPr>
          <w:rFonts w:cs="Arial"/>
        </w:rPr>
        <w:t>ćine Starigrad za razdoblje 202</w:t>
      </w:r>
      <w:r w:rsidR="0077230C">
        <w:rPr>
          <w:rFonts w:cs="Arial"/>
        </w:rPr>
        <w:t>6</w:t>
      </w:r>
      <w:r w:rsidR="006E196C">
        <w:rPr>
          <w:rFonts w:cs="Arial"/>
        </w:rPr>
        <w:t>.-202</w:t>
      </w:r>
      <w:r w:rsidR="0077230C">
        <w:rPr>
          <w:rFonts w:cs="Arial"/>
        </w:rPr>
        <w:t>8</w:t>
      </w:r>
      <w:r>
        <w:rPr>
          <w:rFonts w:cs="Arial"/>
        </w:rPr>
        <w:t>. godine.</w:t>
      </w:r>
    </w:p>
    <w:p w14:paraId="038B1FB7" w14:textId="77777777" w:rsidR="00A52639" w:rsidRDefault="00A52639">
      <w:pPr>
        <w:tabs>
          <w:tab w:val="left" w:pos="0"/>
        </w:tabs>
        <w:rPr>
          <w:rFonts w:cs="Arial"/>
        </w:rPr>
      </w:pPr>
    </w:p>
    <w:p w14:paraId="0EB36934" w14:textId="77777777" w:rsidR="00A52639" w:rsidRDefault="00A52639">
      <w:pPr>
        <w:tabs>
          <w:tab w:val="left" w:pos="0"/>
        </w:tabs>
        <w:rPr>
          <w:rFonts w:cs="Arial"/>
        </w:rPr>
      </w:pPr>
      <w:r>
        <w:rPr>
          <w:rFonts w:cs="Arial"/>
        </w:rPr>
        <w:t>________________________________________________________________________________</w:t>
      </w:r>
    </w:p>
    <w:p w14:paraId="13D79CB3" w14:textId="77777777" w:rsidR="00A52639" w:rsidRDefault="00A52639">
      <w:pPr>
        <w:tabs>
          <w:tab w:val="left" w:pos="0"/>
        </w:tabs>
        <w:rPr>
          <w:rFonts w:cs="Arial"/>
        </w:rPr>
      </w:pPr>
    </w:p>
    <w:p w14:paraId="51A34A54" w14:textId="77A9B911" w:rsidR="00A52639" w:rsidRPr="003D0C8C" w:rsidRDefault="00A52639">
      <w:r w:rsidRPr="003D0C8C">
        <w:t>KLASA : 400-0</w:t>
      </w:r>
      <w:r w:rsidR="006178F6" w:rsidRPr="003D0C8C">
        <w:t>9</w:t>
      </w:r>
      <w:r w:rsidRPr="003D0C8C">
        <w:t>/</w:t>
      </w:r>
      <w:r w:rsidR="001077A6" w:rsidRPr="003D0C8C">
        <w:t>2</w:t>
      </w:r>
      <w:r w:rsidR="003D0C8C" w:rsidRPr="003D0C8C">
        <w:t>5</w:t>
      </w:r>
      <w:r w:rsidR="001077A6" w:rsidRPr="003D0C8C">
        <w:t>-01/</w:t>
      </w:r>
      <w:r w:rsidR="00C0369C" w:rsidRPr="003D0C8C">
        <w:t>0</w:t>
      </w:r>
      <w:r w:rsidR="003D0C8C" w:rsidRPr="003D0C8C">
        <w:t>8</w:t>
      </w:r>
    </w:p>
    <w:p w14:paraId="19F6FA64" w14:textId="03B76226" w:rsidR="006E196C" w:rsidRPr="003D0C8C" w:rsidRDefault="006E196C">
      <w:pPr>
        <w:tabs>
          <w:tab w:val="left" w:pos="0"/>
        </w:tabs>
        <w:rPr>
          <w:rFonts w:cs="Arial"/>
        </w:rPr>
      </w:pPr>
      <w:r w:rsidRPr="003D0C8C">
        <w:rPr>
          <w:rFonts w:cs="Arial"/>
        </w:rPr>
        <w:t xml:space="preserve">URBROJ: </w:t>
      </w:r>
      <w:r w:rsidR="001077A6" w:rsidRPr="003D0C8C">
        <w:rPr>
          <w:rFonts w:cs="Arial"/>
        </w:rPr>
        <w:t>2198-9-3-2</w:t>
      </w:r>
      <w:r w:rsidR="003D0C8C" w:rsidRPr="003D0C8C">
        <w:rPr>
          <w:rFonts w:cs="Arial"/>
        </w:rPr>
        <w:t>5</w:t>
      </w:r>
      <w:r w:rsidR="00B17080" w:rsidRPr="003D0C8C">
        <w:rPr>
          <w:rFonts w:cs="Arial"/>
        </w:rPr>
        <w:t>-</w:t>
      </w:r>
      <w:r w:rsidR="00244849" w:rsidRPr="003D0C8C">
        <w:rPr>
          <w:rFonts w:cs="Arial"/>
        </w:rPr>
        <w:t>1</w:t>
      </w:r>
    </w:p>
    <w:p w14:paraId="20D88A91" w14:textId="77777777" w:rsidR="00244849" w:rsidRDefault="00244849">
      <w:pPr>
        <w:tabs>
          <w:tab w:val="left" w:pos="0"/>
        </w:tabs>
        <w:rPr>
          <w:rFonts w:cs="Arial"/>
        </w:rPr>
      </w:pPr>
    </w:p>
    <w:p w14:paraId="32F0A09A" w14:textId="3EC77563" w:rsidR="00A52639" w:rsidRDefault="00A52639">
      <w:pPr>
        <w:tabs>
          <w:tab w:val="left" w:pos="0"/>
        </w:tabs>
        <w:rPr>
          <w:rFonts w:cs="Arial"/>
        </w:rPr>
      </w:pPr>
      <w:r>
        <w:rPr>
          <w:rFonts w:cs="Arial"/>
        </w:rPr>
        <w:t xml:space="preserve">Starigrad Paklenica, </w:t>
      </w:r>
      <w:r w:rsidR="00A941EA">
        <w:rPr>
          <w:rFonts w:cs="Arial"/>
        </w:rPr>
        <w:t>20</w:t>
      </w:r>
      <w:r>
        <w:rPr>
          <w:rFonts w:cs="Arial"/>
        </w:rPr>
        <w:t>.</w:t>
      </w:r>
      <w:r w:rsidR="006E196C">
        <w:rPr>
          <w:rFonts w:cs="Arial"/>
        </w:rPr>
        <w:t xml:space="preserve"> </w:t>
      </w:r>
      <w:r w:rsidR="00244849">
        <w:rPr>
          <w:rFonts w:cs="Arial"/>
        </w:rPr>
        <w:t>listopada</w:t>
      </w:r>
      <w:r w:rsidR="00052B1B">
        <w:rPr>
          <w:rFonts w:cs="Arial"/>
        </w:rPr>
        <w:t xml:space="preserve"> 202</w:t>
      </w:r>
      <w:r w:rsidR="009661F6">
        <w:rPr>
          <w:rFonts w:cs="Arial"/>
        </w:rPr>
        <w:t>5</w:t>
      </w:r>
      <w:r>
        <w:rPr>
          <w:rFonts w:cs="Arial"/>
        </w:rPr>
        <w:t>. godine</w:t>
      </w:r>
    </w:p>
    <w:sectPr w:rsidR="00A52639" w:rsidSect="000825A9">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F1B95" w14:textId="77777777" w:rsidR="006A72A2" w:rsidRDefault="006A72A2">
      <w:r>
        <w:separator/>
      </w:r>
    </w:p>
  </w:endnote>
  <w:endnote w:type="continuationSeparator" w:id="0">
    <w:p w14:paraId="66F15F3F" w14:textId="77777777" w:rsidR="006A72A2" w:rsidRDefault="006A7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IDFont+F3">
    <w:altName w:val="Times New Roman"/>
    <w:panose1 w:val="00000000000000000000"/>
    <w:charset w:val="00"/>
    <w:family w:val="roman"/>
    <w:notTrueType/>
    <w:pitch w:val="default"/>
  </w:font>
  <w:font w:name="CIDFont+F1">
    <w:altName w:val="Times New Roman"/>
    <w:panose1 w:val="00000000000000000000"/>
    <w:charset w:val="00"/>
    <w:family w:val="roman"/>
    <w:notTrueType/>
    <w:pitch w:val="default"/>
  </w:font>
  <w:font w:name="CIDFont+F2">
    <w:altName w:val="Times New Roman"/>
    <w:panose1 w:val="00000000000000000000"/>
    <w:charset w:val="00"/>
    <w:family w:val="roman"/>
    <w:notTrueType/>
    <w:pitch w:val="default"/>
  </w:font>
  <w:font w:name="Calibri-Italic">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2DA7" w14:textId="77777777" w:rsidR="0007388D" w:rsidRDefault="00073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8BB43" w14:textId="77777777" w:rsidR="0007388D" w:rsidRDefault="000738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21202" w14:textId="77777777" w:rsidR="0007388D" w:rsidRDefault="00073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533A1" w14:textId="77777777" w:rsidR="006A72A2" w:rsidRDefault="006A72A2">
      <w:r>
        <w:separator/>
      </w:r>
    </w:p>
  </w:footnote>
  <w:footnote w:type="continuationSeparator" w:id="0">
    <w:p w14:paraId="0B60E701" w14:textId="77777777" w:rsidR="006A72A2" w:rsidRDefault="006A7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9977" w14:textId="77777777" w:rsidR="0007388D" w:rsidRDefault="000738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4280" w14:textId="77777777" w:rsidR="0007388D" w:rsidRDefault="000738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56F06" w14:textId="77777777" w:rsidR="0007388D" w:rsidRDefault="000738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suff w:val="nothing"/>
      <w:lvlText w:val=""/>
      <w:lvlJc w:val="center"/>
      <w:pPr>
        <w:tabs>
          <w:tab w:val="num" w:pos="0"/>
        </w:tabs>
        <w:ind w:left="0" w:firstLine="0"/>
      </w:pPr>
    </w:lvl>
    <w:lvl w:ilvl="1">
      <w:start w:val="1"/>
      <w:numFmt w:val="none"/>
      <w:suff w:val="nothing"/>
      <w:lvlText w:val=""/>
      <w:lvlJc w:val="center"/>
      <w:pPr>
        <w:tabs>
          <w:tab w:val="num" w:pos="0"/>
        </w:tabs>
        <w:ind w:left="0" w:firstLine="0"/>
      </w:pPr>
    </w:lvl>
    <w:lvl w:ilvl="2">
      <w:start w:val="1"/>
      <w:numFmt w:val="none"/>
      <w:suff w:val="nothing"/>
      <w:lvlText w:val=""/>
      <w:lvlJc w:val="center"/>
      <w:pPr>
        <w:tabs>
          <w:tab w:val="num" w:pos="0"/>
        </w:tabs>
        <w:ind w:left="0" w:firstLine="0"/>
      </w:pPr>
    </w:lvl>
    <w:lvl w:ilvl="3">
      <w:start w:val="1"/>
      <w:numFmt w:val="none"/>
      <w:suff w:val="nothing"/>
      <w:lvlText w:val=""/>
      <w:lvlJc w:val="center"/>
      <w:pPr>
        <w:tabs>
          <w:tab w:val="num" w:pos="0"/>
        </w:tabs>
        <w:ind w:left="0" w:firstLine="0"/>
      </w:pPr>
    </w:lvl>
    <w:lvl w:ilvl="4">
      <w:start w:val="1"/>
      <w:numFmt w:val="none"/>
      <w:suff w:val="nothing"/>
      <w:lvlText w:val=""/>
      <w:lvlJc w:val="center"/>
      <w:pPr>
        <w:tabs>
          <w:tab w:val="num" w:pos="0"/>
        </w:tabs>
        <w:ind w:left="0" w:firstLine="0"/>
      </w:pPr>
    </w:lvl>
    <w:lvl w:ilvl="5">
      <w:start w:val="1"/>
      <w:numFmt w:val="none"/>
      <w:suff w:val="nothing"/>
      <w:lvlText w:val=""/>
      <w:lvlJc w:val="center"/>
      <w:pPr>
        <w:tabs>
          <w:tab w:val="num" w:pos="0"/>
        </w:tabs>
        <w:ind w:left="0" w:firstLine="0"/>
      </w:pPr>
    </w:lvl>
    <w:lvl w:ilvl="6">
      <w:start w:val="1"/>
      <w:numFmt w:val="none"/>
      <w:suff w:val="nothing"/>
      <w:lvlText w:val=""/>
      <w:lvlJc w:val="center"/>
      <w:pPr>
        <w:tabs>
          <w:tab w:val="num" w:pos="0"/>
        </w:tabs>
        <w:ind w:left="0" w:firstLine="0"/>
      </w:pPr>
    </w:lvl>
    <w:lvl w:ilvl="7">
      <w:start w:val="1"/>
      <w:numFmt w:val="none"/>
      <w:suff w:val="nothing"/>
      <w:lvlText w:val=""/>
      <w:lvlJc w:val="center"/>
      <w:pPr>
        <w:tabs>
          <w:tab w:val="num" w:pos="0"/>
        </w:tabs>
        <w:ind w:left="0" w:firstLine="0"/>
      </w:pPr>
    </w:lvl>
    <w:lvl w:ilvl="8">
      <w:start w:val="1"/>
      <w:numFmt w:val="none"/>
      <w:suff w:val="nothing"/>
      <w:lvlText w:val=""/>
      <w:lvlJc w:val="center"/>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3402"/>
        </w:tabs>
        <w:ind w:left="3402" w:hanging="56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402"/>
        </w:tabs>
        <w:ind w:left="3402" w:hanging="567"/>
      </w:pPr>
      <w:rPr>
        <w:rFonts w:ascii="Symbol" w:hAnsi="Symbo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737"/>
        </w:tabs>
        <w:ind w:left="737" w:hanging="377"/>
      </w:pPr>
      <w:rPr>
        <w:rFonts w:ascii="Symbol" w:hAnsi="Symbol"/>
      </w:rPr>
    </w:lvl>
  </w:abstractNum>
  <w:abstractNum w:abstractNumId="3" w15:restartNumberingAfterBreak="0">
    <w:nsid w:val="00000004"/>
    <w:multiLevelType w:val="singleLevel"/>
    <w:tmpl w:val="00000004"/>
    <w:lvl w:ilvl="0">
      <w:start w:val="1"/>
      <w:numFmt w:val="bullet"/>
      <w:lvlText w:val=""/>
      <w:lvlJc w:val="left"/>
      <w:pPr>
        <w:tabs>
          <w:tab w:val="num" w:pos="924"/>
        </w:tabs>
        <w:ind w:left="924" w:hanging="360"/>
      </w:pPr>
      <w:rPr>
        <w:rFonts w:ascii="Symbol" w:hAnsi="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009A4720"/>
    <w:multiLevelType w:val="hybridMultilevel"/>
    <w:tmpl w:val="7DCC7392"/>
    <w:lvl w:ilvl="0" w:tplc="58B8FBD8">
      <w:start w:val="1"/>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342280A"/>
    <w:multiLevelType w:val="hybridMultilevel"/>
    <w:tmpl w:val="7438E460"/>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C4146E5"/>
    <w:multiLevelType w:val="hybridMultilevel"/>
    <w:tmpl w:val="F5E88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C827FB"/>
    <w:multiLevelType w:val="hybridMultilevel"/>
    <w:tmpl w:val="F86010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3C06F1D"/>
    <w:multiLevelType w:val="hybridMultilevel"/>
    <w:tmpl w:val="EDE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C81880"/>
    <w:multiLevelType w:val="hybridMultilevel"/>
    <w:tmpl w:val="3F8C4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1B1404"/>
    <w:multiLevelType w:val="hybridMultilevel"/>
    <w:tmpl w:val="F7DC56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64762FB"/>
    <w:multiLevelType w:val="hybridMultilevel"/>
    <w:tmpl w:val="6A303954"/>
    <w:lvl w:ilvl="0" w:tplc="20803944">
      <w:start w:val="3"/>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96D31D1"/>
    <w:multiLevelType w:val="hybridMultilevel"/>
    <w:tmpl w:val="170A5EDE"/>
    <w:lvl w:ilvl="0" w:tplc="F2E4A4DC">
      <w:start w:val="1"/>
      <w:numFmt w:val="lowerLetter"/>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8" w15:restartNumberingAfterBreak="0">
    <w:nsid w:val="20C5564F"/>
    <w:multiLevelType w:val="hybridMultilevel"/>
    <w:tmpl w:val="0660FE96"/>
    <w:lvl w:ilvl="0" w:tplc="A4D64066">
      <w:numFmt w:val="bullet"/>
      <w:lvlText w:val="-"/>
      <w:lvlJc w:val="left"/>
      <w:pPr>
        <w:ind w:left="720" w:hanging="360"/>
      </w:pPr>
      <w:rPr>
        <w:rFonts w:ascii="Times New Roman" w:eastAsia="SimSu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F82149"/>
    <w:multiLevelType w:val="hybridMultilevel"/>
    <w:tmpl w:val="611C0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4B2D75"/>
    <w:multiLevelType w:val="multilevel"/>
    <w:tmpl w:val="C1EAC84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C4E1F85"/>
    <w:multiLevelType w:val="hybridMultilevel"/>
    <w:tmpl w:val="E2CE7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E04EDB"/>
    <w:multiLevelType w:val="hybridMultilevel"/>
    <w:tmpl w:val="D11A5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5C3167"/>
    <w:multiLevelType w:val="hybridMultilevel"/>
    <w:tmpl w:val="F3745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0E4625F"/>
    <w:multiLevelType w:val="hybridMultilevel"/>
    <w:tmpl w:val="C19CF4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84F7843"/>
    <w:multiLevelType w:val="hybridMultilevel"/>
    <w:tmpl w:val="EC7A8A78"/>
    <w:lvl w:ilvl="0" w:tplc="9768FD2A">
      <w:start w:val="1"/>
      <w:numFmt w:val="lowerLetter"/>
      <w:lvlText w:val="%1)"/>
      <w:lvlJc w:val="left"/>
      <w:pPr>
        <w:ind w:left="1080" w:hanging="360"/>
      </w:pPr>
      <w:rPr>
        <w:rFonts w:hint="default"/>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15:restartNumberingAfterBreak="0">
    <w:nsid w:val="73247AC3"/>
    <w:multiLevelType w:val="hybridMultilevel"/>
    <w:tmpl w:val="E11212D6"/>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6C2DF0"/>
    <w:multiLevelType w:val="hybridMultilevel"/>
    <w:tmpl w:val="2200D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FB4635D"/>
    <w:multiLevelType w:val="hybridMultilevel"/>
    <w:tmpl w:val="5F969988"/>
    <w:lvl w:ilvl="0" w:tplc="04090001">
      <w:start w:val="1"/>
      <w:numFmt w:val="bullet"/>
      <w:lvlText w:val=""/>
      <w:lvlJc w:val="left"/>
      <w:pPr>
        <w:ind w:left="1644" w:hanging="360"/>
      </w:pPr>
      <w:rPr>
        <w:rFonts w:ascii="Symbol" w:hAnsi="Symbol" w:hint="default"/>
      </w:rPr>
    </w:lvl>
    <w:lvl w:ilvl="1" w:tplc="04090003" w:tentative="1">
      <w:start w:val="1"/>
      <w:numFmt w:val="bullet"/>
      <w:lvlText w:val="o"/>
      <w:lvlJc w:val="left"/>
      <w:pPr>
        <w:ind w:left="2364" w:hanging="360"/>
      </w:pPr>
      <w:rPr>
        <w:rFonts w:ascii="Courier New" w:hAnsi="Courier New" w:cs="Courier New" w:hint="default"/>
      </w:rPr>
    </w:lvl>
    <w:lvl w:ilvl="2" w:tplc="04090005" w:tentative="1">
      <w:start w:val="1"/>
      <w:numFmt w:val="bullet"/>
      <w:lvlText w:val=""/>
      <w:lvlJc w:val="left"/>
      <w:pPr>
        <w:ind w:left="3084" w:hanging="360"/>
      </w:pPr>
      <w:rPr>
        <w:rFonts w:ascii="Wingdings" w:hAnsi="Wingdings" w:hint="default"/>
      </w:rPr>
    </w:lvl>
    <w:lvl w:ilvl="3" w:tplc="04090001" w:tentative="1">
      <w:start w:val="1"/>
      <w:numFmt w:val="bullet"/>
      <w:lvlText w:val=""/>
      <w:lvlJc w:val="left"/>
      <w:pPr>
        <w:ind w:left="3804" w:hanging="360"/>
      </w:pPr>
      <w:rPr>
        <w:rFonts w:ascii="Symbol" w:hAnsi="Symbol" w:hint="default"/>
      </w:rPr>
    </w:lvl>
    <w:lvl w:ilvl="4" w:tplc="04090003" w:tentative="1">
      <w:start w:val="1"/>
      <w:numFmt w:val="bullet"/>
      <w:lvlText w:val="o"/>
      <w:lvlJc w:val="left"/>
      <w:pPr>
        <w:ind w:left="4524" w:hanging="360"/>
      </w:pPr>
      <w:rPr>
        <w:rFonts w:ascii="Courier New" w:hAnsi="Courier New" w:cs="Courier New" w:hint="default"/>
      </w:rPr>
    </w:lvl>
    <w:lvl w:ilvl="5" w:tplc="04090005" w:tentative="1">
      <w:start w:val="1"/>
      <w:numFmt w:val="bullet"/>
      <w:lvlText w:val=""/>
      <w:lvlJc w:val="left"/>
      <w:pPr>
        <w:ind w:left="5244" w:hanging="360"/>
      </w:pPr>
      <w:rPr>
        <w:rFonts w:ascii="Wingdings" w:hAnsi="Wingdings" w:hint="default"/>
      </w:rPr>
    </w:lvl>
    <w:lvl w:ilvl="6" w:tplc="04090001" w:tentative="1">
      <w:start w:val="1"/>
      <w:numFmt w:val="bullet"/>
      <w:lvlText w:val=""/>
      <w:lvlJc w:val="left"/>
      <w:pPr>
        <w:ind w:left="5964" w:hanging="360"/>
      </w:pPr>
      <w:rPr>
        <w:rFonts w:ascii="Symbol" w:hAnsi="Symbol" w:hint="default"/>
      </w:rPr>
    </w:lvl>
    <w:lvl w:ilvl="7" w:tplc="04090003" w:tentative="1">
      <w:start w:val="1"/>
      <w:numFmt w:val="bullet"/>
      <w:lvlText w:val="o"/>
      <w:lvlJc w:val="left"/>
      <w:pPr>
        <w:ind w:left="6684" w:hanging="360"/>
      </w:pPr>
      <w:rPr>
        <w:rFonts w:ascii="Courier New" w:hAnsi="Courier New" w:cs="Courier New" w:hint="default"/>
      </w:rPr>
    </w:lvl>
    <w:lvl w:ilvl="8" w:tplc="04090005" w:tentative="1">
      <w:start w:val="1"/>
      <w:numFmt w:val="bullet"/>
      <w:lvlText w:val=""/>
      <w:lvlJc w:val="left"/>
      <w:pPr>
        <w:ind w:left="7404" w:hanging="360"/>
      </w:pPr>
      <w:rPr>
        <w:rFonts w:ascii="Wingdings" w:hAnsi="Wingdings" w:hint="default"/>
      </w:rPr>
    </w:lvl>
  </w:abstractNum>
  <w:num w:numId="1" w16cid:durableId="2032535101">
    <w:abstractNumId w:val="0"/>
  </w:num>
  <w:num w:numId="2" w16cid:durableId="994728158">
    <w:abstractNumId w:val="1"/>
  </w:num>
  <w:num w:numId="3" w16cid:durableId="1516730976">
    <w:abstractNumId w:val="2"/>
  </w:num>
  <w:num w:numId="4" w16cid:durableId="1496606318">
    <w:abstractNumId w:val="3"/>
  </w:num>
  <w:num w:numId="5" w16cid:durableId="585697482">
    <w:abstractNumId w:val="4"/>
  </w:num>
  <w:num w:numId="6" w16cid:durableId="204025036">
    <w:abstractNumId w:val="5"/>
  </w:num>
  <w:num w:numId="7" w16cid:durableId="1533614946">
    <w:abstractNumId w:val="6"/>
  </w:num>
  <w:num w:numId="8" w16cid:durableId="2038196254">
    <w:abstractNumId w:val="7"/>
  </w:num>
  <w:num w:numId="9" w16cid:durableId="576475812">
    <w:abstractNumId w:val="8"/>
  </w:num>
  <w:num w:numId="10" w16cid:durableId="154223204">
    <w:abstractNumId w:val="24"/>
  </w:num>
  <w:num w:numId="11" w16cid:durableId="1336302154">
    <w:abstractNumId w:val="15"/>
  </w:num>
  <w:num w:numId="12" w16cid:durableId="1209955521">
    <w:abstractNumId w:val="20"/>
  </w:num>
  <w:num w:numId="13" w16cid:durableId="868881201">
    <w:abstractNumId w:val="5"/>
  </w:num>
  <w:num w:numId="14" w16cid:durableId="957835623">
    <w:abstractNumId w:val="9"/>
  </w:num>
  <w:num w:numId="15" w16cid:durableId="532882139">
    <w:abstractNumId w:val="10"/>
  </w:num>
  <w:num w:numId="16" w16cid:durableId="984358933">
    <w:abstractNumId w:val="16"/>
  </w:num>
  <w:num w:numId="17" w16cid:durableId="1446316168">
    <w:abstractNumId w:val="19"/>
  </w:num>
  <w:num w:numId="18" w16cid:durableId="820462461">
    <w:abstractNumId w:val="18"/>
  </w:num>
  <w:num w:numId="19" w16cid:durableId="1633512514">
    <w:abstractNumId w:val="26"/>
  </w:num>
  <w:num w:numId="20" w16cid:durableId="863788751">
    <w:abstractNumId w:val="28"/>
  </w:num>
  <w:num w:numId="21" w16cid:durableId="2108576835">
    <w:abstractNumId w:val="25"/>
  </w:num>
  <w:num w:numId="22" w16cid:durableId="121731249">
    <w:abstractNumId w:val="17"/>
  </w:num>
  <w:num w:numId="23" w16cid:durableId="308294168">
    <w:abstractNumId w:val="21"/>
  </w:num>
  <w:num w:numId="24" w16cid:durableId="916287898">
    <w:abstractNumId w:val="13"/>
  </w:num>
  <w:num w:numId="25" w16cid:durableId="1884753177">
    <w:abstractNumId w:val="11"/>
  </w:num>
  <w:num w:numId="26" w16cid:durableId="620377629">
    <w:abstractNumId w:val="27"/>
  </w:num>
  <w:num w:numId="27" w16cid:durableId="1675454923">
    <w:abstractNumId w:val="22"/>
  </w:num>
  <w:num w:numId="28" w16cid:durableId="983658487">
    <w:abstractNumId w:val="14"/>
  </w:num>
  <w:num w:numId="29" w16cid:durableId="709377790">
    <w:abstractNumId w:val="23"/>
  </w:num>
  <w:num w:numId="30" w16cid:durableId="2655745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003"/>
    <w:rsid w:val="000048BF"/>
    <w:rsid w:val="00006A9A"/>
    <w:rsid w:val="000102EC"/>
    <w:rsid w:val="000173D4"/>
    <w:rsid w:val="00017E76"/>
    <w:rsid w:val="00021BDA"/>
    <w:rsid w:val="0002399D"/>
    <w:rsid w:val="000352AD"/>
    <w:rsid w:val="00044423"/>
    <w:rsid w:val="00052B1B"/>
    <w:rsid w:val="00064652"/>
    <w:rsid w:val="00072D82"/>
    <w:rsid w:val="0007388D"/>
    <w:rsid w:val="000825A9"/>
    <w:rsid w:val="0008624C"/>
    <w:rsid w:val="00097457"/>
    <w:rsid w:val="000C279B"/>
    <w:rsid w:val="000C4EBB"/>
    <w:rsid w:val="000D1B09"/>
    <w:rsid w:val="000D2D9F"/>
    <w:rsid w:val="000D5731"/>
    <w:rsid w:val="000F1EAB"/>
    <w:rsid w:val="000F1F7B"/>
    <w:rsid w:val="000F40B3"/>
    <w:rsid w:val="000F6E49"/>
    <w:rsid w:val="00105173"/>
    <w:rsid w:val="001077A6"/>
    <w:rsid w:val="001110B2"/>
    <w:rsid w:val="001111B0"/>
    <w:rsid w:val="00112CFA"/>
    <w:rsid w:val="00114638"/>
    <w:rsid w:val="00114F11"/>
    <w:rsid w:val="00127FAF"/>
    <w:rsid w:val="00137558"/>
    <w:rsid w:val="00137A45"/>
    <w:rsid w:val="001452E2"/>
    <w:rsid w:val="00154DED"/>
    <w:rsid w:val="001622EF"/>
    <w:rsid w:val="0017037B"/>
    <w:rsid w:val="00190CC4"/>
    <w:rsid w:val="001A6392"/>
    <w:rsid w:val="001C4D6B"/>
    <w:rsid w:val="001D137A"/>
    <w:rsid w:val="001D2751"/>
    <w:rsid w:val="001D3C53"/>
    <w:rsid w:val="001D5794"/>
    <w:rsid w:val="001F1579"/>
    <w:rsid w:val="001F4D96"/>
    <w:rsid w:val="001F653F"/>
    <w:rsid w:val="00201C62"/>
    <w:rsid w:val="00210335"/>
    <w:rsid w:val="00210ED9"/>
    <w:rsid w:val="00211D8C"/>
    <w:rsid w:val="00212048"/>
    <w:rsid w:val="0022301F"/>
    <w:rsid w:val="0023055C"/>
    <w:rsid w:val="00230F50"/>
    <w:rsid w:val="00244849"/>
    <w:rsid w:val="00251E09"/>
    <w:rsid w:val="0026082D"/>
    <w:rsid w:val="00261003"/>
    <w:rsid w:val="00273894"/>
    <w:rsid w:val="00286A88"/>
    <w:rsid w:val="00287796"/>
    <w:rsid w:val="00291FF3"/>
    <w:rsid w:val="00292029"/>
    <w:rsid w:val="0029213E"/>
    <w:rsid w:val="002A1CD5"/>
    <w:rsid w:val="002A3634"/>
    <w:rsid w:val="002A7888"/>
    <w:rsid w:val="002B33AE"/>
    <w:rsid w:val="002B3568"/>
    <w:rsid w:val="002B552A"/>
    <w:rsid w:val="002B57F8"/>
    <w:rsid w:val="002C42DD"/>
    <w:rsid w:val="002D16DB"/>
    <w:rsid w:val="002D4BB7"/>
    <w:rsid w:val="002F2698"/>
    <w:rsid w:val="002F27C7"/>
    <w:rsid w:val="003046A0"/>
    <w:rsid w:val="00305C9E"/>
    <w:rsid w:val="00305DA5"/>
    <w:rsid w:val="003420D2"/>
    <w:rsid w:val="00342270"/>
    <w:rsid w:val="003607D1"/>
    <w:rsid w:val="00362BF0"/>
    <w:rsid w:val="00371274"/>
    <w:rsid w:val="003715FE"/>
    <w:rsid w:val="0037763A"/>
    <w:rsid w:val="00381C37"/>
    <w:rsid w:val="00390984"/>
    <w:rsid w:val="003C2DBD"/>
    <w:rsid w:val="003C414A"/>
    <w:rsid w:val="003C4F67"/>
    <w:rsid w:val="003C6BB9"/>
    <w:rsid w:val="003C76FF"/>
    <w:rsid w:val="003D0C8C"/>
    <w:rsid w:val="003F26EA"/>
    <w:rsid w:val="004140AC"/>
    <w:rsid w:val="00416247"/>
    <w:rsid w:val="00424B31"/>
    <w:rsid w:val="0042616F"/>
    <w:rsid w:val="004266AF"/>
    <w:rsid w:val="004355F9"/>
    <w:rsid w:val="00445047"/>
    <w:rsid w:val="00465A5E"/>
    <w:rsid w:val="00480497"/>
    <w:rsid w:val="00482D47"/>
    <w:rsid w:val="004918CC"/>
    <w:rsid w:val="004A11C6"/>
    <w:rsid w:val="004B0FB7"/>
    <w:rsid w:val="004B2719"/>
    <w:rsid w:val="004C2E19"/>
    <w:rsid w:val="004C381B"/>
    <w:rsid w:val="004C59A1"/>
    <w:rsid w:val="004D451E"/>
    <w:rsid w:val="004D7CAF"/>
    <w:rsid w:val="00502D66"/>
    <w:rsid w:val="00517683"/>
    <w:rsid w:val="00521059"/>
    <w:rsid w:val="005217D6"/>
    <w:rsid w:val="0052304E"/>
    <w:rsid w:val="00523AF3"/>
    <w:rsid w:val="00524CAC"/>
    <w:rsid w:val="005304CD"/>
    <w:rsid w:val="00531C77"/>
    <w:rsid w:val="0053458E"/>
    <w:rsid w:val="00537C67"/>
    <w:rsid w:val="00551071"/>
    <w:rsid w:val="0055736E"/>
    <w:rsid w:val="00562347"/>
    <w:rsid w:val="00570B00"/>
    <w:rsid w:val="0057101E"/>
    <w:rsid w:val="005818BB"/>
    <w:rsid w:val="00582B39"/>
    <w:rsid w:val="00585FD0"/>
    <w:rsid w:val="00590CA5"/>
    <w:rsid w:val="00593684"/>
    <w:rsid w:val="005B027F"/>
    <w:rsid w:val="005C3CBE"/>
    <w:rsid w:val="005C5D6C"/>
    <w:rsid w:val="005C5E20"/>
    <w:rsid w:val="005C6791"/>
    <w:rsid w:val="005D1173"/>
    <w:rsid w:val="005D27B2"/>
    <w:rsid w:val="005D7A90"/>
    <w:rsid w:val="005E3AFE"/>
    <w:rsid w:val="005F6EB0"/>
    <w:rsid w:val="005F77B6"/>
    <w:rsid w:val="00602007"/>
    <w:rsid w:val="006024AC"/>
    <w:rsid w:val="006178F6"/>
    <w:rsid w:val="00631A63"/>
    <w:rsid w:val="00633088"/>
    <w:rsid w:val="00640B41"/>
    <w:rsid w:val="00640B89"/>
    <w:rsid w:val="00640CD2"/>
    <w:rsid w:val="006458B6"/>
    <w:rsid w:val="00647312"/>
    <w:rsid w:val="006510AA"/>
    <w:rsid w:val="00663552"/>
    <w:rsid w:val="00666BD4"/>
    <w:rsid w:val="006675DE"/>
    <w:rsid w:val="00677B0D"/>
    <w:rsid w:val="00684733"/>
    <w:rsid w:val="00684863"/>
    <w:rsid w:val="00686998"/>
    <w:rsid w:val="00695562"/>
    <w:rsid w:val="006965F7"/>
    <w:rsid w:val="006A72A2"/>
    <w:rsid w:val="006B177C"/>
    <w:rsid w:val="006B26A2"/>
    <w:rsid w:val="006B4825"/>
    <w:rsid w:val="006C2797"/>
    <w:rsid w:val="006C75B9"/>
    <w:rsid w:val="006C76CE"/>
    <w:rsid w:val="006D219E"/>
    <w:rsid w:val="006E196C"/>
    <w:rsid w:val="006E2C53"/>
    <w:rsid w:val="006F6E73"/>
    <w:rsid w:val="007117EC"/>
    <w:rsid w:val="0071570C"/>
    <w:rsid w:val="0072699E"/>
    <w:rsid w:val="00741D82"/>
    <w:rsid w:val="0074373F"/>
    <w:rsid w:val="0075108B"/>
    <w:rsid w:val="00755315"/>
    <w:rsid w:val="00770097"/>
    <w:rsid w:val="0077230C"/>
    <w:rsid w:val="00783AE1"/>
    <w:rsid w:val="00791D75"/>
    <w:rsid w:val="007950C0"/>
    <w:rsid w:val="00795EDA"/>
    <w:rsid w:val="00797ABD"/>
    <w:rsid w:val="007A01E6"/>
    <w:rsid w:val="007A257F"/>
    <w:rsid w:val="007B69A4"/>
    <w:rsid w:val="007B6DE6"/>
    <w:rsid w:val="007C6EB5"/>
    <w:rsid w:val="007D0F7A"/>
    <w:rsid w:val="007E2B3D"/>
    <w:rsid w:val="007F19FC"/>
    <w:rsid w:val="007F6FDE"/>
    <w:rsid w:val="00804E61"/>
    <w:rsid w:val="0080566D"/>
    <w:rsid w:val="00805AF8"/>
    <w:rsid w:val="00806336"/>
    <w:rsid w:val="008132B9"/>
    <w:rsid w:val="00820423"/>
    <w:rsid w:val="00825C2B"/>
    <w:rsid w:val="00827C22"/>
    <w:rsid w:val="00845FD9"/>
    <w:rsid w:val="00853588"/>
    <w:rsid w:val="00865B4D"/>
    <w:rsid w:val="00880792"/>
    <w:rsid w:val="008850E8"/>
    <w:rsid w:val="0089476C"/>
    <w:rsid w:val="008A1534"/>
    <w:rsid w:val="008A442B"/>
    <w:rsid w:val="008A6409"/>
    <w:rsid w:val="008B52E7"/>
    <w:rsid w:val="008B55EB"/>
    <w:rsid w:val="008C29E9"/>
    <w:rsid w:val="008C33B0"/>
    <w:rsid w:val="008C37E9"/>
    <w:rsid w:val="008C69F4"/>
    <w:rsid w:val="008E50B1"/>
    <w:rsid w:val="008E7524"/>
    <w:rsid w:val="008E7D4C"/>
    <w:rsid w:val="008F152F"/>
    <w:rsid w:val="008F4F5E"/>
    <w:rsid w:val="00900D28"/>
    <w:rsid w:val="00904128"/>
    <w:rsid w:val="00907908"/>
    <w:rsid w:val="00912AC8"/>
    <w:rsid w:val="00923D5D"/>
    <w:rsid w:val="00925962"/>
    <w:rsid w:val="00925A60"/>
    <w:rsid w:val="00932816"/>
    <w:rsid w:val="0096080E"/>
    <w:rsid w:val="009661F6"/>
    <w:rsid w:val="009815A5"/>
    <w:rsid w:val="00982090"/>
    <w:rsid w:val="009839CC"/>
    <w:rsid w:val="0099764B"/>
    <w:rsid w:val="009B61E8"/>
    <w:rsid w:val="009C680B"/>
    <w:rsid w:val="009D0A8E"/>
    <w:rsid w:val="009D5D3F"/>
    <w:rsid w:val="009E7044"/>
    <w:rsid w:val="009F092B"/>
    <w:rsid w:val="009F71D4"/>
    <w:rsid w:val="00A004D6"/>
    <w:rsid w:val="00A268CD"/>
    <w:rsid w:val="00A2740F"/>
    <w:rsid w:val="00A37782"/>
    <w:rsid w:val="00A46BE3"/>
    <w:rsid w:val="00A52639"/>
    <w:rsid w:val="00A70BAA"/>
    <w:rsid w:val="00A762A1"/>
    <w:rsid w:val="00A771CE"/>
    <w:rsid w:val="00A77A70"/>
    <w:rsid w:val="00A83C60"/>
    <w:rsid w:val="00A8658C"/>
    <w:rsid w:val="00A941EA"/>
    <w:rsid w:val="00AA3213"/>
    <w:rsid w:val="00AA4714"/>
    <w:rsid w:val="00AA5CFA"/>
    <w:rsid w:val="00AA6004"/>
    <w:rsid w:val="00AA6799"/>
    <w:rsid w:val="00AC1DB3"/>
    <w:rsid w:val="00AC577C"/>
    <w:rsid w:val="00AC6F8E"/>
    <w:rsid w:val="00AE076C"/>
    <w:rsid w:val="00AE5062"/>
    <w:rsid w:val="00AE678D"/>
    <w:rsid w:val="00AF7466"/>
    <w:rsid w:val="00B17080"/>
    <w:rsid w:val="00B17165"/>
    <w:rsid w:val="00B22C33"/>
    <w:rsid w:val="00B22F83"/>
    <w:rsid w:val="00B23ADF"/>
    <w:rsid w:val="00B32F0A"/>
    <w:rsid w:val="00B33818"/>
    <w:rsid w:val="00B4083E"/>
    <w:rsid w:val="00B4256A"/>
    <w:rsid w:val="00B471C6"/>
    <w:rsid w:val="00B500BB"/>
    <w:rsid w:val="00B5417A"/>
    <w:rsid w:val="00B75DE8"/>
    <w:rsid w:val="00B76D8A"/>
    <w:rsid w:val="00B925D6"/>
    <w:rsid w:val="00BA0626"/>
    <w:rsid w:val="00BA63FE"/>
    <w:rsid w:val="00BB287F"/>
    <w:rsid w:val="00BD4544"/>
    <w:rsid w:val="00BD69AF"/>
    <w:rsid w:val="00BF0967"/>
    <w:rsid w:val="00BF128A"/>
    <w:rsid w:val="00BF1591"/>
    <w:rsid w:val="00BF1ECA"/>
    <w:rsid w:val="00C0369C"/>
    <w:rsid w:val="00C11CC1"/>
    <w:rsid w:val="00C15C15"/>
    <w:rsid w:val="00C2039A"/>
    <w:rsid w:val="00C2344D"/>
    <w:rsid w:val="00C337C2"/>
    <w:rsid w:val="00C3598B"/>
    <w:rsid w:val="00C4512C"/>
    <w:rsid w:val="00C51253"/>
    <w:rsid w:val="00C6003E"/>
    <w:rsid w:val="00C643C6"/>
    <w:rsid w:val="00C65CF2"/>
    <w:rsid w:val="00C6664C"/>
    <w:rsid w:val="00C7026D"/>
    <w:rsid w:val="00C7553B"/>
    <w:rsid w:val="00C7710A"/>
    <w:rsid w:val="00C82BCC"/>
    <w:rsid w:val="00C82D02"/>
    <w:rsid w:val="00C86E31"/>
    <w:rsid w:val="00C901D2"/>
    <w:rsid w:val="00C907FD"/>
    <w:rsid w:val="00C947A0"/>
    <w:rsid w:val="00CA304C"/>
    <w:rsid w:val="00CA47BB"/>
    <w:rsid w:val="00CB1DC3"/>
    <w:rsid w:val="00CB6231"/>
    <w:rsid w:val="00CB7848"/>
    <w:rsid w:val="00CC066E"/>
    <w:rsid w:val="00CD027C"/>
    <w:rsid w:val="00CD41F0"/>
    <w:rsid w:val="00CD4E82"/>
    <w:rsid w:val="00CD5808"/>
    <w:rsid w:val="00CE746E"/>
    <w:rsid w:val="00CF2500"/>
    <w:rsid w:val="00CF7ADA"/>
    <w:rsid w:val="00D0111A"/>
    <w:rsid w:val="00D01963"/>
    <w:rsid w:val="00D04402"/>
    <w:rsid w:val="00D04A01"/>
    <w:rsid w:val="00D10AD2"/>
    <w:rsid w:val="00D171B5"/>
    <w:rsid w:val="00D453C2"/>
    <w:rsid w:val="00D54617"/>
    <w:rsid w:val="00D54FBE"/>
    <w:rsid w:val="00D56F31"/>
    <w:rsid w:val="00D64BE3"/>
    <w:rsid w:val="00D707DE"/>
    <w:rsid w:val="00D70ECE"/>
    <w:rsid w:val="00D70FBF"/>
    <w:rsid w:val="00D722A3"/>
    <w:rsid w:val="00D8176F"/>
    <w:rsid w:val="00D82741"/>
    <w:rsid w:val="00D91BEA"/>
    <w:rsid w:val="00D939D6"/>
    <w:rsid w:val="00DA2261"/>
    <w:rsid w:val="00DA7630"/>
    <w:rsid w:val="00DA7A43"/>
    <w:rsid w:val="00DB064C"/>
    <w:rsid w:val="00DC5D4F"/>
    <w:rsid w:val="00DE5999"/>
    <w:rsid w:val="00DE609B"/>
    <w:rsid w:val="00DE7CDB"/>
    <w:rsid w:val="00DF1D30"/>
    <w:rsid w:val="00DF7776"/>
    <w:rsid w:val="00E02BC6"/>
    <w:rsid w:val="00E03547"/>
    <w:rsid w:val="00E05266"/>
    <w:rsid w:val="00E056BB"/>
    <w:rsid w:val="00E059CC"/>
    <w:rsid w:val="00E06A8C"/>
    <w:rsid w:val="00E12D92"/>
    <w:rsid w:val="00E1634C"/>
    <w:rsid w:val="00E16553"/>
    <w:rsid w:val="00E178A3"/>
    <w:rsid w:val="00E212EA"/>
    <w:rsid w:val="00E65A2F"/>
    <w:rsid w:val="00E756F3"/>
    <w:rsid w:val="00E9008D"/>
    <w:rsid w:val="00EB382B"/>
    <w:rsid w:val="00EB44AB"/>
    <w:rsid w:val="00EC706C"/>
    <w:rsid w:val="00ED3665"/>
    <w:rsid w:val="00ED4F06"/>
    <w:rsid w:val="00EE2832"/>
    <w:rsid w:val="00EE4773"/>
    <w:rsid w:val="00EE7D27"/>
    <w:rsid w:val="00EF7692"/>
    <w:rsid w:val="00F03D0F"/>
    <w:rsid w:val="00F03F3D"/>
    <w:rsid w:val="00F10CFB"/>
    <w:rsid w:val="00F11A0B"/>
    <w:rsid w:val="00F16AEA"/>
    <w:rsid w:val="00F22415"/>
    <w:rsid w:val="00F45D16"/>
    <w:rsid w:val="00F513D6"/>
    <w:rsid w:val="00F552E1"/>
    <w:rsid w:val="00F6172E"/>
    <w:rsid w:val="00F62FBC"/>
    <w:rsid w:val="00F700AB"/>
    <w:rsid w:val="00F704D2"/>
    <w:rsid w:val="00F765FA"/>
    <w:rsid w:val="00F8367A"/>
    <w:rsid w:val="00F86B42"/>
    <w:rsid w:val="00F931E6"/>
    <w:rsid w:val="00FC73E3"/>
    <w:rsid w:val="00FD537E"/>
    <w:rsid w:val="00FE14C1"/>
    <w:rsid w:val="00FE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A0CACA5"/>
  <w15:docId w15:val="{697B8E55-D729-4967-AF23-8D4CA5C8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0D2"/>
    <w:pPr>
      <w:widowControl w:val="0"/>
      <w:suppressAutoHyphens/>
      <w:jc w:val="both"/>
    </w:pPr>
    <w:rPr>
      <w:rFonts w:eastAsia="SimSun" w:cs="Mangal"/>
      <w:kern w:val="1"/>
      <w:sz w:val="24"/>
      <w:szCs w:val="24"/>
      <w:lang w:val="hr-HR" w:eastAsia="hi-IN" w:bidi="hi-IN"/>
    </w:rPr>
  </w:style>
  <w:style w:type="paragraph" w:styleId="Heading2">
    <w:name w:val="heading 2"/>
    <w:basedOn w:val="Normal"/>
    <w:next w:val="Normal"/>
    <w:link w:val="Heading2Char"/>
    <w:uiPriority w:val="9"/>
    <w:semiHidden/>
    <w:unhideWhenUsed/>
    <w:qFormat/>
    <w:rsid w:val="006B26A2"/>
    <w:pPr>
      <w:keepNext/>
      <w:keepLines/>
      <w:spacing w:before="40"/>
      <w:outlineLvl w:val="1"/>
    </w:pPr>
    <w:rPr>
      <w:rFonts w:asciiTheme="majorHAnsi" w:eastAsiaTheme="majorEastAsia" w:hAnsiTheme="majorHAnsi"/>
      <w:color w:val="365F91"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3420D2"/>
    <w:rPr>
      <w:rFonts w:ascii="Symbol" w:hAnsi="Symbol"/>
    </w:rPr>
  </w:style>
  <w:style w:type="character" w:customStyle="1" w:styleId="WW8Num2z1">
    <w:name w:val="WW8Num2z1"/>
    <w:rsid w:val="003420D2"/>
    <w:rPr>
      <w:rFonts w:ascii="Courier New" w:hAnsi="Courier New"/>
    </w:rPr>
  </w:style>
  <w:style w:type="character" w:customStyle="1" w:styleId="WW8Num2z2">
    <w:name w:val="WW8Num2z2"/>
    <w:rsid w:val="003420D2"/>
    <w:rPr>
      <w:rFonts w:ascii="Wingdings" w:hAnsi="Wingdings"/>
    </w:rPr>
  </w:style>
  <w:style w:type="character" w:customStyle="1" w:styleId="WW8Num3z0">
    <w:name w:val="WW8Num3z0"/>
    <w:rsid w:val="003420D2"/>
    <w:rPr>
      <w:rFonts w:ascii="Symbol" w:hAnsi="Symbol"/>
    </w:rPr>
  </w:style>
  <w:style w:type="character" w:customStyle="1" w:styleId="WW8Num4z0">
    <w:name w:val="WW8Num4z0"/>
    <w:rsid w:val="003420D2"/>
    <w:rPr>
      <w:rFonts w:ascii="Symbol" w:hAnsi="Symbol" w:cs="OpenSymbol"/>
    </w:rPr>
  </w:style>
  <w:style w:type="character" w:customStyle="1" w:styleId="WW8Num5z0">
    <w:name w:val="WW8Num5z0"/>
    <w:rsid w:val="003420D2"/>
    <w:rPr>
      <w:rFonts w:ascii="Symbol" w:hAnsi="Symbol" w:cs="Times New Roman"/>
    </w:rPr>
  </w:style>
  <w:style w:type="character" w:customStyle="1" w:styleId="WW8Num6z0">
    <w:name w:val="WW8Num6z0"/>
    <w:rsid w:val="003420D2"/>
    <w:rPr>
      <w:rFonts w:ascii="Symbol" w:hAnsi="Symbol" w:cs="OpenSymbol"/>
    </w:rPr>
  </w:style>
  <w:style w:type="character" w:customStyle="1" w:styleId="WW8Num7z0">
    <w:name w:val="WW8Num7z0"/>
    <w:rsid w:val="003420D2"/>
    <w:rPr>
      <w:rFonts w:ascii="Symbol" w:hAnsi="Symbol"/>
    </w:rPr>
  </w:style>
  <w:style w:type="character" w:customStyle="1" w:styleId="Absatz-Standardschriftart">
    <w:name w:val="Absatz-Standardschriftart"/>
    <w:rsid w:val="003420D2"/>
  </w:style>
  <w:style w:type="character" w:customStyle="1" w:styleId="WW-Absatz-Standardschriftart">
    <w:name w:val="WW-Absatz-Standardschriftart"/>
    <w:rsid w:val="003420D2"/>
  </w:style>
  <w:style w:type="character" w:customStyle="1" w:styleId="WW8Num9z0">
    <w:name w:val="WW8Num9z0"/>
    <w:rsid w:val="003420D2"/>
    <w:rPr>
      <w:rFonts w:ascii="Symbol" w:hAnsi="Symbol" w:cs="OpenSymbol"/>
    </w:rPr>
  </w:style>
  <w:style w:type="character" w:customStyle="1" w:styleId="WW8Num11z0">
    <w:name w:val="WW8Num11z0"/>
    <w:rsid w:val="003420D2"/>
    <w:rPr>
      <w:rFonts w:ascii="Symbol" w:hAnsi="Symbol" w:cs="OpenSymbol"/>
    </w:rPr>
  </w:style>
  <w:style w:type="character" w:customStyle="1" w:styleId="WW8Num12z0">
    <w:name w:val="WW8Num12z0"/>
    <w:rsid w:val="003420D2"/>
    <w:rPr>
      <w:rFonts w:ascii="Symbol" w:hAnsi="Symbol" w:cs="OpenSymbol"/>
    </w:rPr>
  </w:style>
  <w:style w:type="character" w:customStyle="1" w:styleId="WW-Absatz-Standardschriftart1">
    <w:name w:val="WW-Absatz-Standardschriftart1"/>
    <w:rsid w:val="003420D2"/>
  </w:style>
  <w:style w:type="character" w:customStyle="1" w:styleId="WW8Num7z1">
    <w:name w:val="WW8Num7z1"/>
    <w:rsid w:val="003420D2"/>
    <w:rPr>
      <w:rFonts w:ascii="Courier New" w:hAnsi="Courier New"/>
    </w:rPr>
  </w:style>
  <w:style w:type="character" w:customStyle="1" w:styleId="WW8Num7z2">
    <w:name w:val="WW8Num7z2"/>
    <w:rsid w:val="003420D2"/>
    <w:rPr>
      <w:rFonts w:ascii="Wingdings" w:hAnsi="Wingdings"/>
    </w:rPr>
  </w:style>
  <w:style w:type="character" w:customStyle="1" w:styleId="WW8Num22z0">
    <w:name w:val="WW8Num22z0"/>
    <w:rsid w:val="003420D2"/>
    <w:rPr>
      <w:rFonts w:ascii="Symbol" w:hAnsi="Symbol"/>
    </w:rPr>
  </w:style>
  <w:style w:type="character" w:customStyle="1" w:styleId="WW8Num22z1">
    <w:name w:val="WW8Num22z1"/>
    <w:rsid w:val="003420D2"/>
    <w:rPr>
      <w:rFonts w:ascii="Courier New" w:hAnsi="Courier New" w:cs="Courier New"/>
    </w:rPr>
  </w:style>
  <w:style w:type="character" w:customStyle="1" w:styleId="WW8Num22z2">
    <w:name w:val="WW8Num22z2"/>
    <w:rsid w:val="003420D2"/>
    <w:rPr>
      <w:rFonts w:ascii="Wingdings" w:hAnsi="Wingdings"/>
    </w:rPr>
  </w:style>
  <w:style w:type="character" w:customStyle="1" w:styleId="Grafikeoznake1">
    <w:name w:val="Grafičke oznake1"/>
    <w:rsid w:val="003420D2"/>
    <w:rPr>
      <w:rFonts w:ascii="OpenSymbol" w:eastAsia="OpenSymbol" w:hAnsi="OpenSymbol" w:cs="OpenSymbol"/>
    </w:rPr>
  </w:style>
  <w:style w:type="character" w:customStyle="1" w:styleId="Simbolinumeriranja">
    <w:name w:val="Simboli numeriranja"/>
    <w:rsid w:val="003420D2"/>
  </w:style>
  <w:style w:type="character" w:customStyle="1" w:styleId="WW8Num1z0">
    <w:name w:val="WW8Num1z0"/>
    <w:rsid w:val="003420D2"/>
    <w:rPr>
      <w:rFonts w:ascii="Times New Roman" w:eastAsia="Times New Roman" w:hAnsi="Times New Roman" w:cs="Times New Roman"/>
    </w:rPr>
  </w:style>
  <w:style w:type="character" w:styleId="Hyperlink">
    <w:name w:val="Hyperlink"/>
    <w:rsid w:val="003420D2"/>
    <w:rPr>
      <w:color w:val="000080"/>
      <w:u w:val="single"/>
    </w:rPr>
  </w:style>
  <w:style w:type="paragraph" w:customStyle="1" w:styleId="Naslov1">
    <w:name w:val="Naslov1"/>
    <w:basedOn w:val="Normal"/>
    <w:next w:val="BodyText"/>
    <w:rsid w:val="003420D2"/>
    <w:pPr>
      <w:keepNext/>
      <w:spacing w:before="240" w:after="120"/>
    </w:pPr>
    <w:rPr>
      <w:rFonts w:ascii="Arial" w:hAnsi="Arial"/>
      <w:sz w:val="28"/>
      <w:szCs w:val="28"/>
    </w:rPr>
  </w:style>
  <w:style w:type="paragraph" w:styleId="BodyText">
    <w:name w:val="Body Text"/>
    <w:basedOn w:val="Normal"/>
    <w:rsid w:val="003420D2"/>
    <w:pPr>
      <w:spacing w:after="120"/>
    </w:pPr>
  </w:style>
  <w:style w:type="paragraph" w:styleId="List">
    <w:name w:val="List"/>
    <w:basedOn w:val="BodyText"/>
    <w:rsid w:val="003420D2"/>
  </w:style>
  <w:style w:type="paragraph" w:customStyle="1" w:styleId="Opis">
    <w:name w:val="Opis"/>
    <w:basedOn w:val="Normal"/>
    <w:rsid w:val="003420D2"/>
    <w:pPr>
      <w:suppressLineNumbers/>
      <w:spacing w:before="120" w:after="120"/>
    </w:pPr>
    <w:rPr>
      <w:i/>
      <w:iCs/>
    </w:rPr>
  </w:style>
  <w:style w:type="paragraph" w:customStyle="1" w:styleId="Indeks">
    <w:name w:val="Indeks"/>
    <w:basedOn w:val="Normal"/>
    <w:rsid w:val="003420D2"/>
    <w:pPr>
      <w:suppressLineNumbers/>
    </w:pPr>
  </w:style>
  <w:style w:type="paragraph" w:styleId="Title">
    <w:name w:val="Title"/>
    <w:basedOn w:val="Naslov1"/>
    <w:next w:val="Subtitle"/>
    <w:qFormat/>
    <w:rsid w:val="003420D2"/>
  </w:style>
  <w:style w:type="paragraph" w:styleId="Subtitle">
    <w:name w:val="Subtitle"/>
    <w:basedOn w:val="Naslov1"/>
    <w:next w:val="BodyText"/>
    <w:qFormat/>
    <w:rsid w:val="003420D2"/>
    <w:pPr>
      <w:jc w:val="center"/>
    </w:pPr>
    <w:rPr>
      <w:i/>
      <w:iCs/>
    </w:rPr>
  </w:style>
  <w:style w:type="paragraph" w:customStyle="1" w:styleId="T4">
    <w:name w:val="T 4"/>
    <w:basedOn w:val="Normal"/>
    <w:rsid w:val="003420D2"/>
    <w:pPr>
      <w:keepNext/>
      <w:tabs>
        <w:tab w:val="num" w:pos="0"/>
        <w:tab w:val="left" w:pos="360"/>
      </w:tabs>
      <w:jc w:val="center"/>
    </w:pPr>
    <w:rPr>
      <w:b/>
      <w:caps/>
      <w:szCs w:val="28"/>
    </w:rPr>
  </w:style>
  <w:style w:type="paragraph" w:customStyle="1" w:styleId="T3">
    <w:name w:val="T 3"/>
    <w:basedOn w:val="Normal"/>
    <w:rsid w:val="003420D2"/>
    <w:pPr>
      <w:keepNext/>
      <w:tabs>
        <w:tab w:val="num" w:pos="0"/>
        <w:tab w:val="left" w:pos="360"/>
      </w:tabs>
      <w:spacing w:after="240"/>
      <w:jc w:val="left"/>
    </w:pPr>
    <w:rPr>
      <w:b/>
      <w:caps/>
      <w:sz w:val="30"/>
    </w:rPr>
  </w:style>
  <w:style w:type="paragraph" w:customStyle="1" w:styleId="B5">
    <w:name w:val="B 5"/>
    <w:basedOn w:val="Normal"/>
    <w:rsid w:val="003420D2"/>
    <w:pPr>
      <w:tabs>
        <w:tab w:val="left" w:pos="2835"/>
        <w:tab w:val="num" w:pos="3402"/>
      </w:tabs>
      <w:spacing w:before="60" w:after="60"/>
      <w:ind w:left="2835"/>
    </w:pPr>
  </w:style>
  <w:style w:type="paragraph" w:customStyle="1" w:styleId="P1">
    <w:name w:val="P 1"/>
    <w:basedOn w:val="Normal"/>
    <w:rsid w:val="003420D2"/>
    <w:pPr>
      <w:spacing w:before="120" w:after="120"/>
      <w:ind w:left="567"/>
    </w:pPr>
  </w:style>
  <w:style w:type="paragraph" w:customStyle="1" w:styleId="Tabletext">
    <w:name w:val="Table text"/>
    <w:basedOn w:val="Normal"/>
    <w:rsid w:val="003420D2"/>
    <w:pPr>
      <w:jc w:val="left"/>
    </w:pPr>
    <w:rPr>
      <w:rFonts w:cs="Arial"/>
      <w:szCs w:val="20"/>
    </w:rPr>
  </w:style>
  <w:style w:type="paragraph" w:customStyle="1" w:styleId="Sadrajitablice">
    <w:name w:val="Sadržaji tablice"/>
    <w:basedOn w:val="Normal"/>
    <w:rsid w:val="003420D2"/>
    <w:pPr>
      <w:suppressLineNumbers/>
    </w:pPr>
  </w:style>
  <w:style w:type="paragraph" w:customStyle="1" w:styleId="Naslovtablice">
    <w:name w:val="Naslov tablice"/>
    <w:basedOn w:val="Sadrajitablice"/>
    <w:rsid w:val="003420D2"/>
    <w:pPr>
      <w:jc w:val="center"/>
    </w:pPr>
    <w:rPr>
      <w:b/>
      <w:bCs/>
    </w:rPr>
  </w:style>
  <w:style w:type="table" w:styleId="TableGrid">
    <w:name w:val="Table Grid"/>
    <w:basedOn w:val="TableNormal"/>
    <w:uiPriority w:val="39"/>
    <w:rsid w:val="004C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00AB"/>
    <w:rPr>
      <w:rFonts w:ascii="Segoe UI" w:hAnsi="Segoe UI"/>
      <w:sz w:val="18"/>
      <w:szCs w:val="16"/>
    </w:rPr>
  </w:style>
  <w:style w:type="character" w:customStyle="1" w:styleId="BalloonTextChar">
    <w:name w:val="Balloon Text Char"/>
    <w:link w:val="BalloonText"/>
    <w:uiPriority w:val="99"/>
    <w:semiHidden/>
    <w:rsid w:val="00F700AB"/>
    <w:rPr>
      <w:rFonts w:ascii="Segoe UI" w:eastAsia="SimSun" w:hAnsi="Segoe UI" w:cs="Mangal"/>
      <w:kern w:val="1"/>
      <w:sz w:val="18"/>
      <w:szCs w:val="16"/>
      <w:lang w:eastAsia="hi-IN" w:bidi="hi-IN"/>
    </w:rPr>
  </w:style>
  <w:style w:type="paragraph" w:customStyle="1" w:styleId="t-9-8">
    <w:name w:val="t-9-8"/>
    <w:basedOn w:val="Normal"/>
    <w:rsid w:val="007F6FDE"/>
    <w:pPr>
      <w:widowControl/>
      <w:suppressAutoHyphens w:val="0"/>
      <w:spacing w:before="100" w:beforeAutospacing="1" w:after="100" w:afterAutospacing="1"/>
    </w:pPr>
    <w:rPr>
      <w:rFonts w:eastAsia="Times New Roman" w:cs="Times New Roman"/>
      <w:kern w:val="0"/>
      <w:lang w:val="en-US" w:eastAsia="en-US" w:bidi="ar-SA"/>
    </w:rPr>
  </w:style>
  <w:style w:type="character" w:customStyle="1" w:styleId="fontstyle01">
    <w:name w:val="fontstyle01"/>
    <w:basedOn w:val="DefaultParagraphFont"/>
    <w:rsid w:val="004D451E"/>
    <w:rPr>
      <w:rFonts w:ascii="CIDFont+F3" w:hAnsi="CIDFont+F3" w:hint="default"/>
      <w:b w:val="0"/>
      <w:bCs w:val="0"/>
      <w:i w:val="0"/>
      <w:iCs w:val="0"/>
      <w:color w:val="000000"/>
      <w:sz w:val="24"/>
      <w:szCs w:val="24"/>
    </w:rPr>
  </w:style>
  <w:style w:type="paragraph" w:styleId="NoSpacing">
    <w:name w:val="No Spacing"/>
    <w:uiPriority w:val="1"/>
    <w:qFormat/>
    <w:rsid w:val="004D451E"/>
    <w:pPr>
      <w:jc w:val="both"/>
    </w:pPr>
    <w:rPr>
      <w:rFonts w:ascii="Calibri" w:hAnsi="Calibri"/>
      <w:sz w:val="22"/>
      <w:szCs w:val="22"/>
      <w:lang w:val="hr-HR" w:eastAsia="hr-HR"/>
    </w:rPr>
  </w:style>
  <w:style w:type="character" w:customStyle="1" w:styleId="fontstyle21">
    <w:name w:val="fontstyle21"/>
    <w:basedOn w:val="DefaultParagraphFont"/>
    <w:rsid w:val="00D04402"/>
    <w:rPr>
      <w:rFonts w:ascii="CIDFont+F1" w:hAnsi="CIDFont+F1" w:hint="default"/>
      <w:b w:val="0"/>
      <w:bCs w:val="0"/>
      <w:i w:val="0"/>
      <w:iCs w:val="0"/>
      <w:color w:val="000000"/>
      <w:sz w:val="24"/>
      <w:szCs w:val="24"/>
    </w:rPr>
  </w:style>
  <w:style w:type="character" w:customStyle="1" w:styleId="fontstyle31">
    <w:name w:val="fontstyle31"/>
    <w:basedOn w:val="DefaultParagraphFont"/>
    <w:rsid w:val="00D04402"/>
    <w:rPr>
      <w:rFonts w:ascii="CIDFont+F2" w:hAnsi="CIDFont+F2" w:hint="default"/>
      <w:b/>
      <w:bCs/>
      <w:i w:val="0"/>
      <w:iCs w:val="0"/>
      <w:color w:val="000000"/>
      <w:sz w:val="24"/>
      <w:szCs w:val="24"/>
    </w:rPr>
  </w:style>
  <w:style w:type="paragraph" w:styleId="Header">
    <w:name w:val="header"/>
    <w:basedOn w:val="Normal"/>
    <w:link w:val="HeaderChar"/>
    <w:uiPriority w:val="99"/>
    <w:unhideWhenUsed/>
    <w:rsid w:val="000825A9"/>
    <w:pPr>
      <w:tabs>
        <w:tab w:val="center" w:pos="4680"/>
        <w:tab w:val="right" w:pos="9360"/>
      </w:tabs>
    </w:pPr>
    <w:rPr>
      <w:szCs w:val="21"/>
    </w:rPr>
  </w:style>
  <w:style w:type="character" w:customStyle="1" w:styleId="HeaderChar">
    <w:name w:val="Header Char"/>
    <w:basedOn w:val="DefaultParagraphFont"/>
    <w:link w:val="Header"/>
    <w:uiPriority w:val="99"/>
    <w:rsid w:val="000825A9"/>
    <w:rPr>
      <w:rFonts w:eastAsia="SimSun" w:cs="Mangal"/>
      <w:kern w:val="1"/>
      <w:sz w:val="24"/>
      <w:szCs w:val="21"/>
      <w:lang w:val="hr-HR" w:eastAsia="hi-IN" w:bidi="hi-IN"/>
    </w:rPr>
  </w:style>
  <w:style w:type="paragraph" w:styleId="Footer">
    <w:name w:val="footer"/>
    <w:basedOn w:val="Normal"/>
    <w:link w:val="FooterChar"/>
    <w:uiPriority w:val="99"/>
    <w:unhideWhenUsed/>
    <w:rsid w:val="000825A9"/>
    <w:pPr>
      <w:tabs>
        <w:tab w:val="center" w:pos="4680"/>
        <w:tab w:val="right" w:pos="9360"/>
      </w:tabs>
    </w:pPr>
    <w:rPr>
      <w:szCs w:val="21"/>
    </w:rPr>
  </w:style>
  <w:style w:type="character" w:customStyle="1" w:styleId="FooterChar">
    <w:name w:val="Footer Char"/>
    <w:basedOn w:val="DefaultParagraphFont"/>
    <w:link w:val="Footer"/>
    <w:uiPriority w:val="99"/>
    <w:rsid w:val="000825A9"/>
    <w:rPr>
      <w:rFonts w:eastAsia="SimSun" w:cs="Mangal"/>
      <w:kern w:val="1"/>
      <w:sz w:val="24"/>
      <w:szCs w:val="21"/>
      <w:lang w:val="hr-HR" w:eastAsia="hi-IN" w:bidi="hi-IN"/>
    </w:rPr>
  </w:style>
  <w:style w:type="paragraph" w:styleId="ListParagraph">
    <w:name w:val="List Paragraph"/>
    <w:basedOn w:val="Normal"/>
    <w:uiPriority w:val="34"/>
    <w:qFormat/>
    <w:rsid w:val="00F45D16"/>
    <w:pPr>
      <w:ind w:left="720"/>
      <w:contextualSpacing/>
    </w:pPr>
    <w:rPr>
      <w:szCs w:val="21"/>
    </w:rPr>
  </w:style>
  <w:style w:type="character" w:customStyle="1" w:styleId="fontstyle41">
    <w:name w:val="fontstyle41"/>
    <w:basedOn w:val="DefaultParagraphFont"/>
    <w:rsid w:val="00F552E1"/>
    <w:rPr>
      <w:rFonts w:ascii="Calibri-Italic" w:hAnsi="Calibri-Italic" w:hint="default"/>
      <w:b w:val="0"/>
      <w:bCs w:val="0"/>
      <w:i/>
      <w:iCs/>
      <w:color w:val="000000"/>
      <w:sz w:val="24"/>
      <w:szCs w:val="24"/>
    </w:rPr>
  </w:style>
  <w:style w:type="character" w:customStyle="1" w:styleId="fontstyle51">
    <w:name w:val="fontstyle51"/>
    <w:basedOn w:val="DefaultParagraphFont"/>
    <w:rsid w:val="00F552E1"/>
    <w:rPr>
      <w:rFonts w:ascii="TimesNewRomanPSMT" w:hAnsi="TimesNewRomanPSMT" w:hint="default"/>
      <w:b w:val="0"/>
      <w:bCs w:val="0"/>
      <w:i w:val="0"/>
      <w:iCs w:val="0"/>
      <w:color w:val="000000"/>
      <w:sz w:val="24"/>
      <w:szCs w:val="24"/>
    </w:rPr>
  </w:style>
  <w:style w:type="character" w:customStyle="1" w:styleId="Heading2Char">
    <w:name w:val="Heading 2 Char"/>
    <w:basedOn w:val="DefaultParagraphFont"/>
    <w:link w:val="Heading2"/>
    <w:uiPriority w:val="9"/>
    <w:semiHidden/>
    <w:rsid w:val="006B26A2"/>
    <w:rPr>
      <w:rFonts w:asciiTheme="majorHAnsi" w:eastAsiaTheme="majorEastAsia" w:hAnsiTheme="majorHAnsi" w:cs="Mangal"/>
      <w:color w:val="365F91" w:themeColor="accent1" w:themeShade="BF"/>
      <w:kern w:val="1"/>
      <w:sz w:val="26"/>
      <w:szCs w:val="23"/>
      <w:lang w:val="hr-HR"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80795">
      <w:bodyDiv w:val="1"/>
      <w:marLeft w:val="0"/>
      <w:marRight w:val="0"/>
      <w:marTop w:val="0"/>
      <w:marBottom w:val="0"/>
      <w:divBdr>
        <w:top w:val="none" w:sz="0" w:space="0" w:color="auto"/>
        <w:left w:val="none" w:sz="0" w:space="0" w:color="auto"/>
        <w:bottom w:val="none" w:sz="0" w:space="0" w:color="auto"/>
        <w:right w:val="none" w:sz="0" w:space="0" w:color="auto"/>
      </w:divBdr>
    </w:div>
    <w:div w:id="490831300">
      <w:bodyDiv w:val="1"/>
      <w:marLeft w:val="0"/>
      <w:marRight w:val="0"/>
      <w:marTop w:val="0"/>
      <w:marBottom w:val="0"/>
      <w:divBdr>
        <w:top w:val="none" w:sz="0" w:space="0" w:color="auto"/>
        <w:left w:val="none" w:sz="0" w:space="0" w:color="auto"/>
        <w:bottom w:val="none" w:sz="0" w:space="0" w:color="auto"/>
        <w:right w:val="none" w:sz="0" w:space="0" w:color="auto"/>
      </w:divBdr>
    </w:div>
    <w:div w:id="627318102">
      <w:bodyDiv w:val="1"/>
      <w:marLeft w:val="0"/>
      <w:marRight w:val="0"/>
      <w:marTop w:val="0"/>
      <w:marBottom w:val="0"/>
      <w:divBdr>
        <w:top w:val="none" w:sz="0" w:space="0" w:color="auto"/>
        <w:left w:val="none" w:sz="0" w:space="0" w:color="auto"/>
        <w:bottom w:val="none" w:sz="0" w:space="0" w:color="auto"/>
        <w:right w:val="none" w:sz="0" w:space="0" w:color="auto"/>
      </w:divBdr>
    </w:div>
    <w:div w:id="832377365">
      <w:bodyDiv w:val="1"/>
      <w:marLeft w:val="0"/>
      <w:marRight w:val="0"/>
      <w:marTop w:val="0"/>
      <w:marBottom w:val="0"/>
      <w:divBdr>
        <w:top w:val="none" w:sz="0" w:space="0" w:color="auto"/>
        <w:left w:val="none" w:sz="0" w:space="0" w:color="auto"/>
        <w:bottom w:val="none" w:sz="0" w:space="0" w:color="auto"/>
        <w:right w:val="none" w:sz="0" w:space="0" w:color="auto"/>
      </w:divBdr>
    </w:div>
    <w:div w:id="1057508085">
      <w:bodyDiv w:val="1"/>
      <w:marLeft w:val="0"/>
      <w:marRight w:val="0"/>
      <w:marTop w:val="0"/>
      <w:marBottom w:val="0"/>
      <w:divBdr>
        <w:top w:val="none" w:sz="0" w:space="0" w:color="auto"/>
        <w:left w:val="none" w:sz="0" w:space="0" w:color="auto"/>
        <w:bottom w:val="none" w:sz="0" w:space="0" w:color="auto"/>
        <w:right w:val="none" w:sz="0" w:space="0" w:color="auto"/>
      </w:divBdr>
    </w:div>
    <w:div w:id="1242986000">
      <w:bodyDiv w:val="1"/>
      <w:marLeft w:val="0"/>
      <w:marRight w:val="0"/>
      <w:marTop w:val="0"/>
      <w:marBottom w:val="0"/>
      <w:divBdr>
        <w:top w:val="none" w:sz="0" w:space="0" w:color="auto"/>
        <w:left w:val="none" w:sz="0" w:space="0" w:color="auto"/>
        <w:bottom w:val="none" w:sz="0" w:space="0" w:color="auto"/>
        <w:right w:val="none" w:sz="0" w:space="0" w:color="auto"/>
      </w:divBdr>
    </w:div>
    <w:div w:id="1510947469">
      <w:bodyDiv w:val="1"/>
      <w:marLeft w:val="0"/>
      <w:marRight w:val="0"/>
      <w:marTop w:val="0"/>
      <w:marBottom w:val="0"/>
      <w:divBdr>
        <w:top w:val="none" w:sz="0" w:space="0" w:color="auto"/>
        <w:left w:val="none" w:sz="0" w:space="0" w:color="auto"/>
        <w:bottom w:val="none" w:sz="0" w:space="0" w:color="auto"/>
        <w:right w:val="none" w:sz="0" w:space="0" w:color="auto"/>
      </w:divBdr>
    </w:div>
    <w:div w:id="1572154532">
      <w:bodyDiv w:val="1"/>
      <w:marLeft w:val="0"/>
      <w:marRight w:val="0"/>
      <w:marTop w:val="0"/>
      <w:marBottom w:val="0"/>
      <w:divBdr>
        <w:top w:val="none" w:sz="0" w:space="0" w:color="auto"/>
        <w:left w:val="none" w:sz="0" w:space="0" w:color="auto"/>
        <w:bottom w:val="none" w:sz="0" w:space="0" w:color="auto"/>
        <w:right w:val="none" w:sz="0" w:space="0" w:color="auto"/>
      </w:divBdr>
    </w:div>
    <w:div w:id="1579242656">
      <w:bodyDiv w:val="1"/>
      <w:marLeft w:val="0"/>
      <w:marRight w:val="0"/>
      <w:marTop w:val="0"/>
      <w:marBottom w:val="0"/>
      <w:divBdr>
        <w:top w:val="none" w:sz="0" w:space="0" w:color="auto"/>
        <w:left w:val="none" w:sz="0" w:space="0" w:color="auto"/>
        <w:bottom w:val="none" w:sz="0" w:space="0" w:color="auto"/>
        <w:right w:val="none" w:sz="0" w:space="0" w:color="auto"/>
      </w:divBdr>
    </w:div>
    <w:div w:id="1807551335">
      <w:bodyDiv w:val="1"/>
      <w:marLeft w:val="0"/>
      <w:marRight w:val="0"/>
      <w:marTop w:val="0"/>
      <w:marBottom w:val="0"/>
      <w:divBdr>
        <w:top w:val="none" w:sz="0" w:space="0" w:color="auto"/>
        <w:left w:val="none" w:sz="0" w:space="0" w:color="auto"/>
        <w:bottom w:val="none" w:sz="0" w:space="0" w:color="auto"/>
        <w:right w:val="none" w:sz="0" w:space="0" w:color="auto"/>
      </w:divBdr>
    </w:div>
    <w:div w:id="1945453046">
      <w:bodyDiv w:val="1"/>
      <w:marLeft w:val="0"/>
      <w:marRight w:val="0"/>
      <w:marTop w:val="0"/>
      <w:marBottom w:val="0"/>
      <w:divBdr>
        <w:top w:val="none" w:sz="0" w:space="0" w:color="auto"/>
        <w:left w:val="none" w:sz="0" w:space="0" w:color="auto"/>
        <w:bottom w:val="none" w:sz="0" w:space="0" w:color="auto"/>
        <w:right w:val="none" w:sz="0" w:space="0" w:color="auto"/>
      </w:divBdr>
    </w:div>
    <w:div w:id="213054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kalni.proracuni@mfin.h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opcina-starigrad.hr/" TargetMode="External"/><Relationship Id="rId4" Type="http://schemas.openxmlformats.org/officeDocument/2006/relationships/settings" Target="settings.xml"/><Relationship Id="rId9" Type="http://schemas.openxmlformats.org/officeDocument/2006/relationships/hyperlink" Target="http://www.revizija.hr/hr/kontak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FEDC2-EE4A-461A-9497-FBFE39971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6528</Words>
  <Characters>37216</Characters>
  <Application>Microsoft Office Word</Application>
  <DocSecurity>0</DocSecurity>
  <Lines>310</Lines>
  <Paragraphs>87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43657</CharactersWithSpaces>
  <SharedDoc>false</SharedDoc>
  <HLinks>
    <vt:vector size="36" baseType="variant">
      <vt:variant>
        <vt:i4>7536688</vt:i4>
      </vt:variant>
      <vt:variant>
        <vt:i4>15</vt:i4>
      </vt:variant>
      <vt:variant>
        <vt:i4>0</vt:i4>
      </vt:variant>
      <vt:variant>
        <vt:i4>5</vt:i4>
      </vt:variant>
      <vt:variant>
        <vt:lpwstr>http://www.mfin.hr/</vt:lpwstr>
      </vt:variant>
      <vt:variant>
        <vt:lpwstr/>
      </vt:variant>
      <vt:variant>
        <vt:i4>3670061</vt:i4>
      </vt:variant>
      <vt:variant>
        <vt:i4>12</vt:i4>
      </vt:variant>
      <vt:variant>
        <vt:i4>0</vt:i4>
      </vt:variant>
      <vt:variant>
        <vt:i4>5</vt:i4>
      </vt:variant>
      <vt:variant>
        <vt:lpwstr>http://www.opcina-starigrad.hr/</vt:lpwstr>
      </vt:variant>
      <vt:variant>
        <vt:lpwstr/>
      </vt:variant>
      <vt:variant>
        <vt:i4>8061041</vt:i4>
      </vt:variant>
      <vt:variant>
        <vt:i4>9</vt:i4>
      </vt:variant>
      <vt:variant>
        <vt:i4>0</vt:i4>
      </vt:variant>
      <vt:variant>
        <vt:i4>5</vt:i4>
      </vt:variant>
      <vt:variant>
        <vt:lpwstr>http://www.revizija.hr/hr/kontakt/</vt:lpwstr>
      </vt:variant>
      <vt:variant>
        <vt:lpwstr/>
      </vt:variant>
      <vt:variant>
        <vt:i4>1704019</vt:i4>
      </vt:variant>
      <vt:variant>
        <vt:i4>6</vt:i4>
      </vt:variant>
      <vt:variant>
        <vt:i4>0</vt:i4>
      </vt:variant>
      <vt:variant>
        <vt:i4>5</vt:i4>
      </vt:variant>
      <vt:variant>
        <vt:lpwstr>https://www.opcina-starigrad.hr/</vt:lpwstr>
      </vt:variant>
      <vt:variant>
        <vt:lpwstr/>
      </vt:variant>
      <vt:variant>
        <vt:i4>6684718</vt:i4>
      </vt:variant>
      <vt:variant>
        <vt:i4>3</vt:i4>
      </vt:variant>
      <vt:variant>
        <vt:i4>0</vt:i4>
      </vt:variant>
      <vt:variant>
        <vt:i4>5</vt:i4>
      </vt:variant>
      <vt:variant>
        <vt:lpwstr>https://mfin.gov.hr/UserDocsImages/dokumenti/drzavna-riznica/racunovodstvo/uputenalozi-ostalo/Upute za evidentiranje poreza na dohodak.pdf</vt:lpwstr>
      </vt:variant>
      <vt:variant>
        <vt:lpwstr/>
      </vt:variant>
      <vt:variant>
        <vt:i4>2949219</vt:i4>
      </vt:variant>
      <vt:variant>
        <vt:i4>0</vt:i4>
      </vt:variant>
      <vt:variant>
        <vt:i4>0</vt:i4>
      </vt:variant>
      <vt:variant>
        <vt:i4>5</vt:i4>
      </vt:variant>
      <vt:variant>
        <vt:lpwstr>https://vlada.gov.hr/sjednice/71-sjednica-vlade-republike-hrvatske-32666/32666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 čavić</dc:creator>
  <cp:lastModifiedBy>w10p</cp:lastModifiedBy>
  <cp:revision>2</cp:revision>
  <cp:lastPrinted>2020-10-09T10:02:00Z</cp:lastPrinted>
  <dcterms:created xsi:type="dcterms:W3CDTF">2025-10-20T10:46:00Z</dcterms:created>
  <dcterms:modified xsi:type="dcterms:W3CDTF">2025-10-20T10:46:00Z</dcterms:modified>
</cp:coreProperties>
</file>