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33" w:rsidRPr="00CC19D7" w:rsidRDefault="008F0733" w:rsidP="008F0733">
      <w:pPr>
        <w:pStyle w:val="Header"/>
        <w:rPr>
          <w:sz w:val="24"/>
          <w:szCs w:val="24"/>
          <w:lang w:val="de-DE"/>
        </w:rPr>
      </w:pPr>
      <w:r w:rsidRPr="00CC19D7">
        <w:rPr>
          <w:sz w:val="24"/>
          <w:szCs w:val="24"/>
        </w:rPr>
        <w:t xml:space="preserve">                      </w:t>
      </w: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33" w:rsidRPr="00CC19D7" w:rsidRDefault="008F0733" w:rsidP="008F0733">
      <w:pPr>
        <w:pStyle w:val="Header"/>
        <w:rPr>
          <w:rFonts w:ascii="HRTimes" w:hAnsi="HRTimes"/>
          <w:sz w:val="24"/>
          <w:szCs w:val="24"/>
          <w:lang w:val="de-DE"/>
        </w:rPr>
      </w:pPr>
      <w:r w:rsidRPr="00CC19D7">
        <w:rPr>
          <w:rFonts w:ascii="HRHelvbold" w:hAnsi="HRHelvbold"/>
          <w:sz w:val="24"/>
          <w:szCs w:val="24"/>
          <w:lang w:val="de-DE"/>
        </w:rPr>
        <w:t xml:space="preserve">       </w:t>
      </w:r>
      <w:r w:rsidRPr="00CC19D7">
        <w:rPr>
          <w:rFonts w:ascii="HRTimes" w:hAnsi="HRTimes"/>
          <w:sz w:val="24"/>
          <w:szCs w:val="24"/>
          <w:lang w:val="de-DE"/>
        </w:rPr>
        <w:t>REPUBLIKA HRVATSKA</w:t>
      </w:r>
    </w:p>
    <w:p w:rsidR="008F0733" w:rsidRPr="00CC19D7" w:rsidRDefault="008F0733" w:rsidP="008F0733">
      <w:pPr>
        <w:pStyle w:val="Header"/>
        <w:rPr>
          <w:sz w:val="24"/>
          <w:szCs w:val="24"/>
          <w:lang w:val="de-DE"/>
        </w:rPr>
      </w:pPr>
      <w:r w:rsidRPr="00CC19D7">
        <w:rPr>
          <w:sz w:val="24"/>
          <w:szCs w:val="24"/>
          <w:lang w:val="de-DE"/>
        </w:rPr>
        <w:t xml:space="preserve">        ZADARSKA ŽUPANIJA</w:t>
      </w:r>
    </w:p>
    <w:p w:rsidR="008F0733" w:rsidRPr="00CC19D7" w:rsidRDefault="008F0733" w:rsidP="008F0733">
      <w:pPr>
        <w:rPr>
          <w:sz w:val="24"/>
          <w:szCs w:val="24"/>
          <w:lang w:val="de-DE"/>
        </w:rPr>
      </w:pPr>
      <w:r w:rsidRPr="00CC19D7">
        <w:rPr>
          <w:sz w:val="24"/>
          <w:szCs w:val="24"/>
          <w:lang w:val="de-DE"/>
        </w:rPr>
        <w:t xml:space="preserve">         OPĆINA STARIGRAD</w:t>
      </w:r>
    </w:p>
    <w:p w:rsidR="008F0733" w:rsidRPr="001C0FFE" w:rsidRDefault="008F0733" w:rsidP="008F0733">
      <w:pPr>
        <w:rPr>
          <w:b/>
          <w:sz w:val="24"/>
          <w:szCs w:val="24"/>
          <w:lang w:val="de-DE"/>
        </w:rPr>
      </w:pPr>
      <w:r w:rsidRPr="001C0FFE">
        <w:rPr>
          <w:b/>
          <w:sz w:val="24"/>
          <w:szCs w:val="24"/>
          <w:lang w:val="de-DE"/>
        </w:rPr>
        <w:t xml:space="preserve">              Općinsko vijeće </w:t>
      </w:r>
    </w:p>
    <w:p w:rsidR="008F0733" w:rsidRPr="001C0FFE" w:rsidRDefault="008F0733" w:rsidP="008F0733">
      <w:pPr>
        <w:rPr>
          <w:b/>
          <w:sz w:val="24"/>
          <w:szCs w:val="24"/>
          <w:lang w:val="de-DE"/>
        </w:rPr>
      </w:pPr>
    </w:p>
    <w:p w:rsidR="008F0733" w:rsidRPr="001C0FFE" w:rsidRDefault="008F0733" w:rsidP="008F0733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KLASA: </w:t>
      </w:r>
    </w:p>
    <w:p w:rsidR="008F0733" w:rsidRPr="001C0FFE" w:rsidRDefault="008F0733" w:rsidP="008F0733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URBROJ: </w:t>
      </w:r>
    </w:p>
    <w:p w:rsidR="008F0733" w:rsidRPr="001C0FFE" w:rsidRDefault="008F0733" w:rsidP="008F0733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733" w:rsidRPr="001C0FFE" w:rsidRDefault="008F0733" w:rsidP="008F0733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>Starigrad Paklenica,  __._____ 2023. godine</w:t>
      </w:r>
    </w:p>
    <w:p w:rsidR="008F0733" w:rsidRPr="00CC19D7" w:rsidRDefault="008F0733" w:rsidP="007254CD">
      <w:pPr>
        <w:ind w:firstLine="720"/>
        <w:rPr>
          <w:sz w:val="24"/>
          <w:szCs w:val="24"/>
          <w:lang w:val="hr-HR"/>
        </w:rPr>
      </w:pPr>
    </w:p>
    <w:p w:rsidR="008F0733" w:rsidRPr="001C0FFE" w:rsidRDefault="008F0733" w:rsidP="007254CD">
      <w:pPr>
        <w:ind w:firstLine="720"/>
        <w:jc w:val="both"/>
        <w:rPr>
          <w:sz w:val="24"/>
          <w:szCs w:val="24"/>
          <w:lang w:val="de-DE"/>
        </w:rPr>
      </w:pPr>
      <w:r w:rsidRPr="007254CD">
        <w:rPr>
          <w:sz w:val="24"/>
          <w:szCs w:val="24"/>
          <w:lang w:val="de-DE"/>
        </w:rPr>
        <w:t>Na temelju članka 35. Zakona o lokalnoj i područnoj (regionalnoj) samoupravi („Narodne novine“ br. 33/01, 60/01, 129/05, 109/07, 125/08, 36/09, 150/11, 144/12, 19/13, 137/15</w:t>
      </w:r>
      <w:r w:rsidR="007254CD" w:rsidRPr="007254CD">
        <w:rPr>
          <w:sz w:val="24"/>
          <w:szCs w:val="24"/>
          <w:lang w:val="de-DE"/>
        </w:rPr>
        <w:t>, 123/17, 98/19 i 144/20</w:t>
      </w:r>
      <w:r w:rsidRPr="007254CD">
        <w:rPr>
          <w:sz w:val="24"/>
          <w:szCs w:val="24"/>
          <w:lang w:val="de-DE"/>
        </w:rPr>
        <w:t>),</w:t>
      </w:r>
      <w:r w:rsidRPr="008F0733">
        <w:rPr>
          <w:sz w:val="24"/>
          <w:szCs w:val="24"/>
          <w:lang w:val="de-DE"/>
        </w:rPr>
        <w:t xml:space="preserve"> članka 42.</w:t>
      </w:r>
      <w:r w:rsidR="00C37D21">
        <w:rPr>
          <w:sz w:val="24"/>
          <w:szCs w:val="24"/>
          <w:lang w:val="de-DE"/>
        </w:rPr>
        <w:t xml:space="preserve"> </w:t>
      </w:r>
      <w:r w:rsidR="00042DF3">
        <w:rPr>
          <w:sz w:val="24"/>
          <w:szCs w:val="24"/>
          <w:lang w:val="de-DE"/>
        </w:rPr>
        <w:t xml:space="preserve">stavka 1. </w:t>
      </w:r>
      <w:r w:rsidRPr="008F0733">
        <w:rPr>
          <w:sz w:val="24"/>
          <w:szCs w:val="24"/>
          <w:lang w:val="de-DE"/>
        </w:rPr>
        <w:t>Zakona o lokalnim porezima</w:t>
      </w:r>
      <w:r>
        <w:rPr>
          <w:sz w:val="24"/>
          <w:szCs w:val="24"/>
          <w:lang w:val="de-DE"/>
        </w:rPr>
        <w:t xml:space="preserve"> („Narodne novine“ br. 115/16</w:t>
      </w:r>
      <w:r w:rsidR="00C37D21">
        <w:rPr>
          <w:sz w:val="24"/>
          <w:szCs w:val="24"/>
          <w:lang w:val="de-DE"/>
        </w:rPr>
        <w:t>, 101/17, 114/22 i 114/23</w:t>
      </w:r>
      <w:r>
        <w:rPr>
          <w:sz w:val="24"/>
          <w:szCs w:val="24"/>
          <w:lang w:val="de-DE"/>
        </w:rPr>
        <w:t xml:space="preserve">) </w:t>
      </w:r>
      <w:r w:rsidRPr="001C0FFE">
        <w:rPr>
          <w:sz w:val="24"/>
          <w:szCs w:val="24"/>
          <w:lang w:val="de-DE"/>
        </w:rPr>
        <w:t>i članka 3</w:t>
      </w:r>
      <w:r w:rsidR="00B2783A">
        <w:rPr>
          <w:sz w:val="24"/>
          <w:szCs w:val="24"/>
          <w:lang w:val="de-DE"/>
        </w:rPr>
        <w:t>0</w:t>
      </w:r>
      <w:r w:rsidRPr="001C0FFE">
        <w:rPr>
          <w:sz w:val="24"/>
          <w:szCs w:val="24"/>
          <w:lang w:val="de-DE"/>
        </w:rPr>
        <w:t>. Statuta Općine Starigrad ("Službeni glasnik Zadarske županije" br. 03/18, 08/18, 3/20 i 3/21),  Općinsko vijeće Općine Starigrad, na svojoj __. sjednici održanoj dana ________  2023. godine, donijelo je</w:t>
      </w:r>
    </w:p>
    <w:p w:rsidR="008F0733" w:rsidRPr="00FC0B7E" w:rsidRDefault="008F0733" w:rsidP="008F0733">
      <w:pPr>
        <w:rPr>
          <w:b/>
        </w:rPr>
      </w:pPr>
    </w:p>
    <w:p w:rsidR="008F0733" w:rsidRPr="00BB7955" w:rsidRDefault="008F0733" w:rsidP="00BB7955">
      <w:pPr>
        <w:jc w:val="center"/>
        <w:rPr>
          <w:b/>
          <w:sz w:val="24"/>
          <w:szCs w:val="24"/>
          <w:lang w:val="hr-HR"/>
        </w:rPr>
      </w:pPr>
      <w:r w:rsidRPr="00FC0B7E">
        <w:rPr>
          <w:b/>
          <w:sz w:val="24"/>
          <w:szCs w:val="24"/>
          <w:lang w:val="hr-HR"/>
        </w:rPr>
        <w:t xml:space="preserve">Odluku o </w:t>
      </w:r>
      <w:r>
        <w:rPr>
          <w:b/>
          <w:sz w:val="24"/>
          <w:szCs w:val="24"/>
          <w:lang w:val="hr-HR"/>
        </w:rPr>
        <w:t>porezima</w:t>
      </w:r>
      <w:r w:rsidRPr="00FC0B7E">
        <w:rPr>
          <w:b/>
          <w:sz w:val="24"/>
          <w:szCs w:val="24"/>
          <w:lang w:val="hr-HR"/>
        </w:rPr>
        <w:t xml:space="preserve"> Općine Starigrad </w:t>
      </w:r>
    </w:p>
    <w:p w:rsidR="00BB7955" w:rsidRPr="008F0733" w:rsidRDefault="008F0733" w:rsidP="008F0733">
      <w:pPr>
        <w:pStyle w:val="box453556"/>
        <w:spacing w:before="272" w:beforeAutospacing="0" w:after="72" w:afterAutospacing="0"/>
        <w:textAlignment w:val="baseline"/>
        <w:rPr>
          <w:b/>
          <w:color w:val="231F20"/>
          <w:sz w:val="26"/>
          <w:szCs w:val="26"/>
        </w:rPr>
      </w:pPr>
      <w:r w:rsidRPr="008F0733">
        <w:rPr>
          <w:b/>
          <w:color w:val="231F20"/>
          <w:sz w:val="26"/>
          <w:szCs w:val="26"/>
        </w:rPr>
        <w:t>I. OPĆE ODREDBE</w:t>
      </w:r>
    </w:p>
    <w:p w:rsidR="008F0733" w:rsidRPr="00616750" w:rsidRDefault="008F0733" w:rsidP="008F0733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Ovom se Odlukom propisuju vrste poreza koji pripadaju Općini Starigrad, obveznici plaćanja, porezna stopa i osnovica, </w:t>
      </w:r>
      <w:r w:rsidR="00043384">
        <w:rPr>
          <w:color w:val="231F20"/>
        </w:rPr>
        <w:t xml:space="preserve">nadležno porezno tijelo za utvrđivanje i naplatu poreza, </w:t>
      </w:r>
      <w:r>
        <w:rPr>
          <w:color w:val="231F20"/>
        </w:rPr>
        <w:t>te način obračuna i plaćanja poreza u skladu sa Zakonom o lokalnim porezima.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8F0733" w:rsidRPr="00B86D04" w:rsidRDefault="008F0733" w:rsidP="008F0733">
      <w:pPr>
        <w:pStyle w:val="box453556"/>
        <w:spacing w:before="0" w:beforeAutospacing="0" w:after="48" w:afterAutospacing="0"/>
        <w:ind w:firstLine="408"/>
        <w:jc w:val="center"/>
        <w:textAlignment w:val="baseline"/>
        <w:rPr>
          <w:b/>
          <w:color w:val="231F20"/>
        </w:rPr>
      </w:pPr>
      <w:r w:rsidRPr="00B86D04">
        <w:rPr>
          <w:b/>
          <w:color w:val="231F20"/>
        </w:rPr>
        <w:t>Članak 2.</w:t>
      </w:r>
    </w:p>
    <w:p w:rsidR="008F0733" w:rsidRDefault="007254CD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Općina Starigrad uvodi sl</w:t>
      </w:r>
      <w:r w:rsidR="008F0733">
        <w:rPr>
          <w:color w:val="231F20"/>
        </w:rPr>
        <w:t>jedeće poreze: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porez na potrošnju,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porez na kuće za odmor.</w:t>
      </w:r>
    </w:p>
    <w:p w:rsidR="008F0733" w:rsidRDefault="008F0733" w:rsidP="008F0733">
      <w:pPr>
        <w:pStyle w:val="box453556"/>
        <w:spacing w:before="0" w:beforeAutospacing="0" w:after="48" w:afterAutospacing="0"/>
        <w:textAlignment w:val="baseline"/>
        <w:rPr>
          <w:color w:val="231F20"/>
        </w:rPr>
      </w:pPr>
    </w:p>
    <w:p w:rsidR="00BB7955" w:rsidRPr="00B2783A" w:rsidRDefault="008F0733" w:rsidP="008F0733">
      <w:pPr>
        <w:pStyle w:val="box453556"/>
        <w:spacing w:before="0" w:beforeAutospacing="0" w:after="48" w:afterAutospacing="0"/>
        <w:textAlignment w:val="baseline"/>
        <w:rPr>
          <w:b/>
          <w:color w:val="231F20"/>
          <w:sz w:val="26"/>
          <w:szCs w:val="26"/>
        </w:rPr>
      </w:pPr>
      <w:r w:rsidRPr="008F0733">
        <w:rPr>
          <w:b/>
          <w:color w:val="231F20"/>
          <w:sz w:val="26"/>
          <w:szCs w:val="26"/>
        </w:rPr>
        <w:t>II. POREZ NA POTROŠNJU</w:t>
      </w:r>
    </w:p>
    <w:p w:rsidR="008F0733" w:rsidRPr="00616750" w:rsidRDefault="008F0733" w:rsidP="008F0733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3</w:t>
      </w:r>
      <w:r w:rsidRPr="00616750">
        <w:rPr>
          <w:b/>
          <w:color w:val="231F20"/>
        </w:rPr>
        <w:t>.</w:t>
      </w:r>
    </w:p>
    <w:p w:rsidR="008F0733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potrošnju se plaća na potrošnju alkoholnih pića (vinjak, rakiju i žestoka pića), prirodnih vina, specijalnih vina, piva i bezalkoholnih pića u ugostiteljskim objektima, a koji se nalaze na području Općine Starigrad.</w:t>
      </w:r>
    </w:p>
    <w:p w:rsidR="008F0733" w:rsidRPr="00616750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4</w:t>
      </w:r>
      <w:r w:rsidRPr="00616750">
        <w:rPr>
          <w:b/>
          <w:color w:val="231F20"/>
        </w:rPr>
        <w:t>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Obveznik poreza na potrošnju iz članka 3. ove Odluke je pravna i fizička osoba koja pruža ugostiteljske usluge, a koji se nalaze području Općine Starigrad.</w:t>
      </w:r>
    </w:p>
    <w:p w:rsidR="00BB7955" w:rsidRDefault="00BB7955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B2783A" w:rsidRDefault="00B2783A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8F0733" w:rsidRPr="00616750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lastRenderedPageBreak/>
        <w:t>Članak 5</w:t>
      </w:r>
      <w:r w:rsidRPr="00616750">
        <w:rPr>
          <w:b/>
          <w:color w:val="231F20"/>
        </w:rPr>
        <w:t>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Osnovica za porez na potrošnju iz članka 3. ove Odluke je prodajna cijena pića koja se proda u ugostiteljskim objektima, a u koju nije uključen porez na dodanu vrijednost.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8F0733" w:rsidRPr="00616750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6</w:t>
      </w:r>
      <w:r w:rsidRPr="00616750">
        <w:rPr>
          <w:b/>
          <w:color w:val="231F20"/>
        </w:rPr>
        <w:t>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Porez na potrošnju plaća se po stopi od 3%.</w:t>
      </w:r>
    </w:p>
    <w:p w:rsidR="008F0733" w:rsidRDefault="008F0733" w:rsidP="008F0733">
      <w:pPr>
        <w:pStyle w:val="box453556"/>
        <w:spacing w:before="0" w:beforeAutospacing="0" w:after="48" w:afterAutospacing="0"/>
        <w:textAlignment w:val="baseline"/>
        <w:rPr>
          <w:color w:val="231F20"/>
        </w:rPr>
      </w:pPr>
    </w:p>
    <w:p w:rsidR="008F0733" w:rsidRPr="00616750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7</w:t>
      </w:r>
      <w:r w:rsidRPr="00616750">
        <w:rPr>
          <w:b/>
          <w:color w:val="231F20"/>
        </w:rPr>
        <w:t>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616750">
        <w:rPr>
          <w:color w:val="231F20"/>
        </w:rPr>
        <w:t>Obračunsko razdoblje poreza na potrošnju je od prvog do posljednjeg dana u mjesecu.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8F0733" w:rsidRPr="0076344E" w:rsidRDefault="008F0733" w:rsidP="008F0733">
      <w:pPr>
        <w:pStyle w:val="box453556"/>
        <w:spacing w:before="0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8</w:t>
      </w:r>
      <w:r w:rsidRPr="0076344E">
        <w:rPr>
          <w:b/>
          <w:color w:val="231F20"/>
        </w:rPr>
        <w:t>.</w:t>
      </w:r>
    </w:p>
    <w:p w:rsidR="00BB7955" w:rsidRDefault="008F0733" w:rsidP="00043384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potrošnju iskazuje se na Obrascu PP-MI-PO i predaje do 20. dana u mjesecu za prethodni mjesec</w:t>
      </w:r>
      <w:r w:rsidR="00C37D21">
        <w:rPr>
          <w:color w:val="231F20"/>
        </w:rPr>
        <w:t xml:space="preserve"> </w:t>
      </w:r>
      <w:r w:rsidRPr="0076344E">
        <w:rPr>
          <w:color w:val="231F20"/>
        </w:rPr>
        <w:t>nadležnoj ispostavi Porezne uprave</w:t>
      </w:r>
      <w:r w:rsidR="00C37D21">
        <w:rPr>
          <w:color w:val="231F20"/>
        </w:rPr>
        <w:t xml:space="preserve"> </w:t>
      </w:r>
      <w:r w:rsidRPr="0076344E">
        <w:rPr>
          <w:color w:val="231F20"/>
        </w:rPr>
        <w:t>prema sjedištu odnosno prebivalištu ili uobičajenom boravištu poreznog obveznika</w:t>
      </w:r>
      <w:r w:rsidR="00C37D21">
        <w:rPr>
          <w:color w:val="231F20"/>
        </w:rPr>
        <w:t xml:space="preserve"> </w:t>
      </w:r>
      <w:r w:rsidRPr="0076344E">
        <w:rPr>
          <w:color w:val="231F20"/>
        </w:rPr>
        <w:t>zbirno za sve poslovne prostore</w:t>
      </w:r>
      <w:r w:rsidR="00186BA8">
        <w:rPr>
          <w:color w:val="231F20"/>
        </w:rPr>
        <w:t>, na način da se na obrascu iskažu podaci za svaki grad/općinu pojedinačno</w:t>
      </w:r>
      <w:r>
        <w:rPr>
          <w:color w:val="231F20"/>
        </w:rPr>
        <w:t>. Obračunati porez na potrošnju alkoholnih pića, prirodnih vina, specijalnih vina, piva i bezalkoholnih pića obveznik poreza plaća do posljednjeg dana u mjesecu za prethodni mjesec.</w:t>
      </w:r>
      <w:r w:rsidR="00C37D21">
        <w:rPr>
          <w:color w:val="231F20"/>
        </w:rPr>
        <w:t xml:space="preserve"> </w:t>
      </w:r>
    </w:p>
    <w:p w:rsidR="00BB7955" w:rsidRPr="008F0733" w:rsidRDefault="008F0733" w:rsidP="008F0733">
      <w:pPr>
        <w:pStyle w:val="box453556"/>
        <w:spacing w:before="272" w:beforeAutospacing="0" w:after="72" w:afterAutospacing="0"/>
        <w:textAlignment w:val="baseline"/>
        <w:rPr>
          <w:b/>
          <w:color w:val="231F20"/>
          <w:sz w:val="26"/>
          <w:szCs w:val="26"/>
        </w:rPr>
      </w:pPr>
      <w:r w:rsidRPr="008F0733">
        <w:rPr>
          <w:b/>
          <w:color w:val="231F20"/>
          <w:sz w:val="26"/>
          <w:szCs w:val="26"/>
        </w:rPr>
        <w:t>III. POREZ NA KUĆE ZA ODMOR</w:t>
      </w:r>
    </w:p>
    <w:p w:rsidR="008F0733" w:rsidRPr="0076344E" w:rsidRDefault="008F0733" w:rsidP="008F0733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9</w:t>
      </w:r>
      <w:r w:rsidRPr="0076344E">
        <w:rPr>
          <w:b/>
          <w:color w:val="231F20"/>
        </w:rPr>
        <w:t>.</w:t>
      </w:r>
    </w:p>
    <w:p w:rsidR="008F0733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kuće za odmor plaćaju pravne i fizičke osobe koje su vlasnici kuća za odmor, a koje se nalaze na području Općine Starigrad.</w:t>
      </w:r>
    </w:p>
    <w:p w:rsidR="00C37D21" w:rsidRDefault="00C37D21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C37D21" w:rsidRDefault="00C37D21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Obveza plaćanja poreza na dohodak </w:t>
      </w:r>
      <w:r w:rsidR="001525DA">
        <w:rPr>
          <w:color w:val="231F20"/>
        </w:rPr>
        <w:t>s osnove obavljanja dje</w:t>
      </w:r>
      <w:r w:rsidR="00FA1E84">
        <w:rPr>
          <w:color w:val="231F20"/>
        </w:rPr>
        <w:t xml:space="preserve">latnosti iznajmljivanja stanova, </w:t>
      </w:r>
      <w:r w:rsidR="001525DA">
        <w:rPr>
          <w:color w:val="231F20"/>
        </w:rPr>
        <w:t xml:space="preserve"> soba i postelja putnicima i turistima te organiziranja kampova prema odredbama posebnog propisa o porezu na dohodak nema utjecanja na utvrđivanje statusa kuće za odmor.</w:t>
      </w:r>
    </w:p>
    <w:p w:rsidR="008F0733" w:rsidRDefault="008F0733" w:rsidP="001525DA">
      <w:pPr>
        <w:pStyle w:val="box453556"/>
        <w:spacing w:before="0" w:beforeAutospacing="0" w:after="48" w:afterAutospacing="0"/>
        <w:textAlignment w:val="baseline"/>
        <w:rPr>
          <w:color w:val="231F20"/>
        </w:rPr>
      </w:pPr>
    </w:p>
    <w:p w:rsidR="008F0733" w:rsidRPr="0076344E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10</w:t>
      </w:r>
      <w:r w:rsidRPr="0076344E">
        <w:rPr>
          <w:b/>
          <w:color w:val="231F20"/>
        </w:rPr>
        <w:t>.</w:t>
      </w:r>
    </w:p>
    <w:p w:rsidR="008F0733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kuće za odmor plaća se</w:t>
      </w:r>
      <w:r w:rsidR="006D4EC7">
        <w:rPr>
          <w:color w:val="231F20"/>
        </w:rPr>
        <w:t xml:space="preserve"> godišnje,</w:t>
      </w:r>
      <w:r>
        <w:rPr>
          <w:color w:val="231F20"/>
        </w:rPr>
        <w:t xml:space="preserve"> u iznosu od </w:t>
      </w:r>
      <w:r w:rsidR="00BB7955" w:rsidRPr="00180E05">
        <w:rPr>
          <w:color w:val="231F20"/>
        </w:rPr>
        <w:t>4,00</w:t>
      </w:r>
      <w:r w:rsidR="00BB7955">
        <w:rPr>
          <w:color w:val="231F20"/>
        </w:rPr>
        <w:t xml:space="preserve"> EUR</w:t>
      </w:r>
      <w:r>
        <w:rPr>
          <w:color w:val="231F20"/>
        </w:rPr>
        <w:t>/m</w:t>
      </w:r>
      <w:r>
        <w:rPr>
          <w:rFonts w:ascii="Minion Pro" w:hAnsi="Minion Pro"/>
          <w:color w:val="231F20"/>
          <w:vertAlign w:val="superscript"/>
        </w:rPr>
        <w:t>2</w:t>
      </w:r>
      <w:r w:rsidR="00BB7955">
        <w:rPr>
          <w:color w:val="231F20"/>
        </w:rPr>
        <w:t xml:space="preserve"> korisne </w:t>
      </w:r>
      <w:r>
        <w:rPr>
          <w:color w:val="231F20"/>
        </w:rPr>
        <w:t>površine kuće za odmor.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8F0733" w:rsidRPr="0076344E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11</w:t>
      </w:r>
      <w:r w:rsidRPr="0076344E">
        <w:rPr>
          <w:b/>
          <w:color w:val="231F20"/>
        </w:rPr>
        <w:t>.</w:t>
      </w:r>
    </w:p>
    <w:p w:rsidR="00F86DCC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0F1062">
        <w:rPr>
          <w:color w:val="231F20"/>
        </w:rPr>
        <w:t>Porez na kuće za odmor ne plaća se na kuće za odmor koje se ne mogu koristiti zbog ratnih razaranja i prirodnih nepogoda (poplava, požar, potres) te starosti i trošnosti.</w:t>
      </w:r>
      <w:r w:rsidR="00C37D21">
        <w:rPr>
          <w:color w:val="231F20"/>
        </w:rPr>
        <w:t xml:space="preserve"> </w:t>
      </w:r>
    </w:p>
    <w:p w:rsidR="00F86DCC" w:rsidRDefault="00F86DCC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BB7955" w:rsidRDefault="008F0733" w:rsidP="00B2783A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kuće za odmor ne plaća se niti na kuće za odmor za vrijeme dok su u njima smješteni prognanici i izbjeglice te na odmarališta u vlasništvu Općine Starigrad koja služe za smještaj djece u dobi do 15 godina starosti.</w:t>
      </w:r>
    </w:p>
    <w:p w:rsidR="008F0733" w:rsidRPr="0076344E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lastRenderedPageBreak/>
        <w:t>Članak 12</w:t>
      </w:r>
      <w:r w:rsidRPr="0076344E">
        <w:rPr>
          <w:b/>
          <w:color w:val="231F20"/>
        </w:rPr>
        <w:t>.</w:t>
      </w:r>
    </w:p>
    <w:p w:rsidR="00BB7955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Obveznici poreza na kuće za odmor moraju </w:t>
      </w:r>
      <w:r w:rsidR="00087406" w:rsidRPr="00180E05">
        <w:rPr>
          <w:color w:val="231F20"/>
        </w:rPr>
        <w:t>nadležnom poreznom tijelu</w:t>
      </w:r>
      <w:r w:rsidR="003A2ED2" w:rsidRPr="00180E05">
        <w:rPr>
          <w:color w:val="231F20"/>
        </w:rPr>
        <w:t xml:space="preserve"> </w:t>
      </w:r>
      <w:r>
        <w:rPr>
          <w:color w:val="231F20"/>
        </w:rPr>
        <w:t>dostaviti podatke o kućama za odmor, koji se odnose na mjesto gdje se nalaze ti objekti, te korisnu površinu, kao i podatke o poreznom obvezniku, najkasnije do 31. ožujka godine za koju se utvrđuje porez na kuće za odmor. Porez na kuće za odmor plaća se u roku 15 dana od dana dostave rješenja o utvrđivanju tog poreza.</w:t>
      </w:r>
    </w:p>
    <w:p w:rsidR="00F86DCC" w:rsidRDefault="00F86DCC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BB7955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b/>
          <w:color w:val="231F20"/>
          <w:sz w:val="26"/>
          <w:szCs w:val="26"/>
        </w:rPr>
      </w:pPr>
      <w:r w:rsidRPr="008F0733">
        <w:rPr>
          <w:b/>
          <w:color w:val="231F20"/>
          <w:sz w:val="26"/>
          <w:szCs w:val="26"/>
        </w:rPr>
        <w:t>IV. PROVEDBENE ODREDBE</w:t>
      </w:r>
    </w:p>
    <w:p w:rsidR="00087406" w:rsidRPr="00BB7955" w:rsidRDefault="00087406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087406" w:rsidRDefault="00087406" w:rsidP="00087406">
      <w:pPr>
        <w:spacing w:before="34" w:after="48"/>
        <w:jc w:val="center"/>
        <w:rPr>
          <w:b/>
          <w:color w:val="231F20"/>
          <w:sz w:val="24"/>
          <w:szCs w:val="24"/>
          <w:lang w:val="hr-HR"/>
        </w:rPr>
      </w:pPr>
      <w:r>
        <w:rPr>
          <w:b/>
          <w:color w:val="231F20"/>
          <w:sz w:val="24"/>
          <w:szCs w:val="24"/>
          <w:lang w:val="hr-HR"/>
        </w:rPr>
        <w:t xml:space="preserve">Članak 13. </w:t>
      </w:r>
    </w:p>
    <w:p w:rsidR="00087406" w:rsidRDefault="00087406" w:rsidP="00087406">
      <w:pPr>
        <w:spacing w:before="34" w:after="48"/>
        <w:ind w:firstLine="720"/>
        <w:jc w:val="both"/>
        <w:rPr>
          <w:color w:val="231F20"/>
          <w:sz w:val="24"/>
          <w:szCs w:val="24"/>
          <w:lang w:val="hr-HR"/>
        </w:rPr>
      </w:pPr>
      <w:r w:rsidRPr="00087406">
        <w:rPr>
          <w:color w:val="231F20"/>
          <w:sz w:val="24"/>
          <w:szCs w:val="24"/>
          <w:lang w:val="hr-HR"/>
        </w:rPr>
        <w:t xml:space="preserve">Nadležno porezno tijelo za utvrđivanje i naplatu poreza </w:t>
      </w:r>
      <w:r>
        <w:rPr>
          <w:color w:val="231F20"/>
          <w:sz w:val="24"/>
          <w:szCs w:val="24"/>
          <w:lang w:val="hr-HR"/>
        </w:rPr>
        <w:t xml:space="preserve">iz članka 2. ove odluke </w:t>
      </w:r>
      <w:r w:rsidRPr="00087406">
        <w:rPr>
          <w:color w:val="231F20"/>
          <w:sz w:val="24"/>
          <w:szCs w:val="24"/>
          <w:lang w:val="hr-HR"/>
        </w:rPr>
        <w:t>je Ministarstvo financija,  Porezna uprava</w:t>
      </w:r>
      <w:r>
        <w:rPr>
          <w:color w:val="231F20"/>
          <w:sz w:val="24"/>
          <w:szCs w:val="24"/>
          <w:lang w:val="hr-HR"/>
        </w:rPr>
        <w:t>.</w:t>
      </w:r>
    </w:p>
    <w:p w:rsidR="00087406" w:rsidRDefault="00087406" w:rsidP="00087406">
      <w:pPr>
        <w:spacing w:before="34" w:after="48"/>
        <w:ind w:firstLine="720"/>
        <w:jc w:val="both"/>
        <w:rPr>
          <w:b/>
          <w:color w:val="231F20"/>
          <w:sz w:val="24"/>
          <w:szCs w:val="24"/>
          <w:lang w:val="hr-HR"/>
        </w:rPr>
      </w:pPr>
    </w:p>
    <w:p w:rsidR="008F0733" w:rsidRPr="008F0733" w:rsidRDefault="008F0733" w:rsidP="008F0733">
      <w:pPr>
        <w:spacing w:before="34" w:after="48"/>
        <w:jc w:val="center"/>
        <w:rPr>
          <w:b/>
          <w:color w:val="231F20"/>
          <w:sz w:val="24"/>
          <w:szCs w:val="24"/>
          <w:lang w:val="hr-HR"/>
        </w:rPr>
      </w:pPr>
      <w:r w:rsidRPr="008F0733">
        <w:rPr>
          <w:b/>
          <w:color w:val="231F20"/>
          <w:sz w:val="24"/>
          <w:szCs w:val="24"/>
          <w:lang w:val="hr-HR"/>
        </w:rPr>
        <w:t>Članak 1</w:t>
      </w:r>
      <w:r w:rsidR="00087406">
        <w:rPr>
          <w:b/>
          <w:color w:val="231F20"/>
          <w:sz w:val="24"/>
          <w:szCs w:val="24"/>
          <w:lang w:val="hr-HR"/>
        </w:rPr>
        <w:t>4</w:t>
      </w:r>
      <w:r w:rsidRPr="008F0733">
        <w:rPr>
          <w:b/>
          <w:color w:val="231F20"/>
          <w:sz w:val="24"/>
          <w:szCs w:val="24"/>
          <w:lang w:val="hr-HR"/>
        </w:rPr>
        <w:t>.</w:t>
      </w:r>
    </w:p>
    <w:p w:rsidR="002D1C9A" w:rsidRPr="008F0733" w:rsidRDefault="008F0733" w:rsidP="00087406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8F0733">
        <w:rPr>
          <w:color w:val="231F20"/>
        </w:rPr>
        <w:t>Općina Starigrad poslove utvrđivanja, evidentiranja, nadzora, naplate i ovrhe radi naplate općinskih poreza propisanih ovom Odlukom, u cijelosti prenosi na</w:t>
      </w:r>
      <w:r w:rsidR="008A574E">
        <w:rPr>
          <w:color w:val="231F20"/>
        </w:rPr>
        <w:t xml:space="preserve"> </w:t>
      </w:r>
      <w:r w:rsidR="008A574E" w:rsidRPr="00603C20">
        <w:rPr>
          <w:color w:val="231F20"/>
        </w:rPr>
        <w:t xml:space="preserve">Ministarstvo financija, </w:t>
      </w:r>
      <w:r w:rsidRPr="00603C20">
        <w:rPr>
          <w:color w:val="231F20"/>
        </w:rPr>
        <w:t xml:space="preserve"> Poreznu upravu</w:t>
      </w:r>
      <w:r w:rsidR="004D6D98">
        <w:rPr>
          <w:color w:val="231F20"/>
        </w:rPr>
        <w:t>.</w:t>
      </w:r>
      <w:r w:rsidRPr="008F0733">
        <w:rPr>
          <w:color w:val="231F20"/>
        </w:rPr>
        <w:t xml:space="preserve"> Poreznoj upravi za obavljanje poslova iz ovog članka pripada naknada u iznos</w:t>
      </w:r>
      <w:r w:rsidR="002D1C9A">
        <w:rPr>
          <w:color w:val="231F20"/>
        </w:rPr>
        <w:t>u 5% ukupno naplaćenih prihoda.</w:t>
      </w:r>
      <w:r w:rsidR="00087406" w:rsidRPr="00087406">
        <w:rPr>
          <w:color w:val="231F20"/>
        </w:rPr>
        <w:t xml:space="preserve"> </w:t>
      </w:r>
    </w:p>
    <w:p w:rsidR="008F0733" w:rsidRPr="008F0733" w:rsidRDefault="008F0733" w:rsidP="008F0733">
      <w:pPr>
        <w:spacing w:before="103" w:after="48"/>
        <w:jc w:val="center"/>
        <w:rPr>
          <w:b/>
          <w:color w:val="231F20"/>
          <w:sz w:val="24"/>
          <w:szCs w:val="24"/>
          <w:lang w:val="hr-HR"/>
        </w:rPr>
      </w:pPr>
      <w:r w:rsidRPr="008F0733">
        <w:rPr>
          <w:b/>
          <w:color w:val="231F20"/>
          <w:sz w:val="24"/>
          <w:szCs w:val="24"/>
          <w:lang w:val="hr-HR"/>
        </w:rPr>
        <w:t>Članak 1</w:t>
      </w:r>
      <w:r w:rsidR="00087406">
        <w:rPr>
          <w:b/>
          <w:color w:val="231F20"/>
          <w:sz w:val="24"/>
          <w:szCs w:val="24"/>
          <w:lang w:val="hr-HR"/>
        </w:rPr>
        <w:t>5</w:t>
      </w:r>
      <w:r w:rsidRPr="008F0733">
        <w:rPr>
          <w:b/>
          <w:color w:val="231F20"/>
          <w:sz w:val="24"/>
          <w:szCs w:val="24"/>
          <w:lang w:val="hr-HR"/>
        </w:rPr>
        <w:t>.</w:t>
      </w:r>
    </w:p>
    <w:p w:rsidR="008F0733" w:rsidRDefault="008F0733" w:rsidP="002D1C9A">
      <w:pPr>
        <w:spacing w:after="48"/>
        <w:ind w:firstLine="408"/>
        <w:jc w:val="both"/>
        <w:rPr>
          <w:color w:val="231F20"/>
          <w:sz w:val="24"/>
          <w:szCs w:val="24"/>
          <w:lang w:val="hr-HR"/>
        </w:rPr>
      </w:pPr>
      <w:r w:rsidRPr="008F0733">
        <w:rPr>
          <w:color w:val="231F20"/>
          <w:sz w:val="24"/>
          <w:szCs w:val="24"/>
          <w:lang w:val="hr-HR"/>
        </w:rPr>
        <w:t>Porezna uprava je dužna do 15. u mjesecu, za prethodni mjesec, Općini Starigrad dostavljati zbirna izvješća o utvrđenim i naplaćenim porezima.</w:t>
      </w:r>
    </w:p>
    <w:p w:rsidR="002D1C9A" w:rsidRPr="008F0733" w:rsidRDefault="002D1C9A" w:rsidP="002D1C9A">
      <w:pPr>
        <w:spacing w:after="48"/>
        <w:ind w:firstLine="408"/>
        <w:jc w:val="both"/>
        <w:rPr>
          <w:color w:val="231F20"/>
          <w:sz w:val="24"/>
          <w:szCs w:val="24"/>
          <w:lang w:val="hr-HR"/>
        </w:rPr>
      </w:pPr>
    </w:p>
    <w:p w:rsidR="008F0733" w:rsidRPr="008F0733" w:rsidRDefault="008F0733" w:rsidP="008F0733">
      <w:pPr>
        <w:spacing w:before="103" w:after="48"/>
        <w:jc w:val="center"/>
        <w:rPr>
          <w:b/>
          <w:color w:val="231F20"/>
          <w:sz w:val="24"/>
          <w:szCs w:val="24"/>
          <w:lang w:val="hr-HR"/>
        </w:rPr>
      </w:pPr>
      <w:r w:rsidRPr="008F0733">
        <w:rPr>
          <w:b/>
          <w:color w:val="231F20"/>
          <w:sz w:val="24"/>
          <w:szCs w:val="24"/>
          <w:lang w:val="hr-HR"/>
        </w:rPr>
        <w:t>Članak 1</w:t>
      </w:r>
      <w:r w:rsidR="00087406">
        <w:rPr>
          <w:b/>
          <w:color w:val="231F20"/>
          <w:sz w:val="24"/>
          <w:szCs w:val="24"/>
          <w:lang w:val="hr-HR"/>
        </w:rPr>
        <w:t>6</w:t>
      </w:r>
      <w:r w:rsidRPr="008F0733">
        <w:rPr>
          <w:b/>
          <w:color w:val="231F20"/>
          <w:sz w:val="24"/>
          <w:szCs w:val="24"/>
          <w:lang w:val="hr-HR"/>
        </w:rPr>
        <w:t>.</w:t>
      </w:r>
    </w:p>
    <w:p w:rsidR="00BB7955" w:rsidRPr="008F0733" w:rsidRDefault="008F0733" w:rsidP="00B2783A">
      <w:pPr>
        <w:spacing w:after="48"/>
        <w:ind w:firstLine="408"/>
        <w:jc w:val="both"/>
        <w:rPr>
          <w:color w:val="231F20"/>
          <w:sz w:val="24"/>
          <w:szCs w:val="24"/>
          <w:lang w:val="hr-HR"/>
        </w:rPr>
      </w:pPr>
      <w:r w:rsidRPr="008F0733">
        <w:rPr>
          <w:color w:val="231F20"/>
          <w:sz w:val="24"/>
          <w:szCs w:val="24"/>
          <w:lang w:val="hr-HR"/>
        </w:rPr>
        <w:t>Ovlašćuje se nadležna organizacija platnog prometa zadužena za raspoređivanje javnih prihoda da naknadu Poreznoj upravi obračuna i uplati u državni proračun i to do zadnjeg dana u mjesecu za protekli mjesec.</w:t>
      </w:r>
    </w:p>
    <w:p w:rsidR="002D1C9A" w:rsidRPr="008F0733" w:rsidRDefault="008F0733" w:rsidP="008F0733">
      <w:pPr>
        <w:spacing w:before="272" w:after="72"/>
        <w:rPr>
          <w:b/>
          <w:color w:val="231F20"/>
          <w:sz w:val="26"/>
          <w:szCs w:val="26"/>
          <w:lang w:val="hr-HR"/>
        </w:rPr>
      </w:pPr>
      <w:r w:rsidRPr="008F0733">
        <w:rPr>
          <w:b/>
          <w:color w:val="231F20"/>
          <w:sz w:val="26"/>
          <w:szCs w:val="26"/>
          <w:lang w:val="hr-HR"/>
        </w:rPr>
        <w:t>V. PRIJELAZNE I ZAVRŠNE ODREDBE</w:t>
      </w:r>
    </w:p>
    <w:p w:rsidR="008F0733" w:rsidRPr="008F0733" w:rsidRDefault="008F0733" w:rsidP="008F0733">
      <w:pPr>
        <w:spacing w:before="34" w:after="48"/>
        <w:jc w:val="center"/>
        <w:rPr>
          <w:b/>
          <w:color w:val="231F20"/>
          <w:sz w:val="24"/>
          <w:szCs w:val="24"/>
          <w:lang w:val="hr-HR"/>
        </w:rPr>
      </w:pPr>
      <w:r w:rsidRPr="008F0733">
        <w:rPr>
          <w:b/>
          <w:color w:val="231F20"/>
          <w:sz w:val="24"/>
          <w:szCs w:val="24"/>
          <w:lang w:val="hr-HR"/>
        </w:rPr>
        <w:t>Članak 1</w:t>
      </w:r>
      <w:r w:rsidR="00087406">
        <w:rPr>
          <w:b/>
          <w:color w:val="231F20"/>
          <w:sz w:val="24"/>
          <w:szCs w:val="24"/>
          <w:lang w:val="hr-HR"/>
        </w:rPr>
        <w:t>7</w:t>
      </w:r>
      <w:r w:rsidRPr="008F0733">
        <w:rPr>
          <w:b/>
          <w:color w:val="231F20"/>
          <w:sz w:val="24"/>
          <w:szCs w:val="24"/>
          <w:lang w:val="hr-HR"/>
        </w:rPr>
        <w:t>.</w:t>
      </w:r>
    </w:p>
    <w:p w:rsidR="008F0733" w:rsidRDefault="008F0733" w:rsidP="008F0733">
      <w:pPr>
        <w:spacing w:after="48"/>
        <w:ind w:firstLine="408"/>
        <w:jc w:val="both"/>
        <w:rPr>
          <w:sz w:val="24"/>
          <w:szCs w:val="24"/>
          <w:lang w:val="hr-HR"/>
        </w:rPr>
      </w:pPr>
      <w:r w:rsidRPr="00180E05">
        <w:rPr>
          <w:sz w:val="24"/>
          <w:szCs w:val="24"/>
          <w:lang w:val="hr-HR"/>
        </w:rPr>
        <w:t>Kaznene i prekršajne odredbe, te odredbe o naplati, ovrsi, zastari, obnovi postupka, žalbenom postupku i druge postupovne odredbe propisane Općim poreznim zakonom i Zakonom o lokalnim porezima jednako se primjenjuju i na poreze propisane ovom Odlukom.</w:t>
      </w:r>
    </w:p>
    <w:p w:rsidR="003A2ED2" w:rsidRDefault="003A2ED2" w:rsidP="008F0733">
      <w:pPr>
        <w:spacing w:after="48"/>
        <w:ind w:firstLine="408"/>
        <w:jc w:val="both"/>
        <w:rPr>
          <w:sz w:val="24"/>
          <w:szCs w:val="24"/>
          <w:lang w:val="hr-HR"/>
        </w:rPr>
      </w:pPr>
    </w:p>
    <w:p w:rsidR="007254CD" w:rsidRPr="003A2ED2" w:rsidRDefault="003A2ED2" w:rsidP="003A2ED2">
      <w:pPr>
        <w:spacing w:after="48"/>
        <w:jc w:val="center"/>
        <w:rPr>
          <w:b/>
          <w:sz w:val="24"/>
          <w:szCs w:val="24"/>
          <w:lang w:val="hr-HR"/>
        </w:rPr>
      </w:pPr>
      <w:r w:rsidRPr="003A2ED2">
        <w:rPr>
          <w:b/>
          <w:sz w:val="24"/>
          <w:szCs w:val="24"/>
          <w:lang w:val="hr-HR"/>
        </w:rPr>
        <w:t>Članak 1</w:t>
      </w:r>
      <w:r w:rsidR="00087406">
        <w:rPr>
          <w:b/>
          <w:sz w:val="24"/>
          <w:szCs w:val="24"/>
          <w:lang w:val="hr-HR"/>
        </w:rPr>
        <w:t>8</w:t>
      </w:r>
      <w:r w:rsidRPr="003A2ED2">
        <w:rPr>
          <w:b/>
          <w:sz w:val="24"/>
          <w:szCs w:val="24"/>
          <w:lang w:val="hr-HR"/>
        </w:rPr>
        <w:t>.</w:t>
      </w:r>
    </w:p>
    <w:p w:rsidR="007254CD" w:rsidRPr="003A2ED2" w:rsidRDefault="007254CD" w:rsidP="008F0733">
      <w:pPr>
        <w:spacing w:after="48"/>
        <w:ind w:firstLine="408"/>
        <w:jc w:val="both"/>
        <w:rPr>
          <w:sz w:val="24"/>
          <w:szCs w:val="24"/>
          <w:lang w:val="hr-HR"/>
        </w:rPr>
      </w:pPr>
      <w:r w:rsidRPr="003A2ED2">
        <w:rPr>
          <w:sz w:val="24"/>
          <w:szCs w:val="24"/>
          <w:lang w:val="hr-HR"/>
        </w:rPr>
        <w:t>Postupci utvrđivanja poreza započeti po odredbama Odluka o porezima Općine Starigrad („Službeni glasnik Zadarske županije“ br.  6/17 i 21/17) koji nisu dovršeni do stupanja na snagu ove Odluke, dovršiti će se prema odredbama Odluka o porezima Općine Starigrad („Službeni glasnik Zadarske županije“ br.  6/17 i 21/17).</w:t>
      </w:r>
    </w:p>
    <w:p w:rsidR="008F0733" w:rsidRPr="008F0733" w:rsidRDefault="008F0733" w:rsidP="00BB7955">
      <w:pPr>
        <w:spacing w:after="48"/>
        <w:rPr>
          <w:color w:val="231F20"/>
          <w:sz w:val="24"/>
          <w:szCs w:val="24"/>
          <w:lang w:val="hr-HR"/>
        </w:rPr>
      </w:pPr>
    </w:p>
    <w:p w:rsidR="008F0733" w:rsidRPr="007254CD" w:rsidRDefault="008F0733" w:rsidP="008F0733">
      <w:pPr>
        <w:spacing w:before="103" w:after="48"/>
        <w:jc w:val="center"/>
        <w:rPr>
          <w:b/>
          <w:color w:val="231F20"/>
          <w:sz w:val="24"/>
          <w:szCs w:val="24"/>
          <w:lang w:val="hr-HR"/>
        </w:rPr>
      </w:pPr>
      <w:r w:rsidRPr="007254CD">
        <w:rPr>
          <w:b/>
          <w:color w:val="231F20"/>
          <w:sz w:val="24"/>
          <w:szCs w:val="24"/>
          <w:lang w:val="hr-HR"/>
        </w:rPr>
        <w:t>Članak 1</w:t>
      </w:r>
      <w:r w:rsidR="00087406">
        <w:rPr>
          <w:b/>
          <w:color w:val="231F20"/>
          <w:sz w:val="24"/>
          <w:szCs w:val="24"/>
          <w:lang w:val="hr-HR"/>
        </w:rPr>
        <w:t>9</w:t>
      </w:r>
      <w:r w:rsidRPr="007254CD">
        <w:rPr>
          <w:b/>
          <w:color w:val="231F20"/>
          <w:sz w:val="24"/>
          <w:szCs w:val="24"/>
          <w:lang w:val="hr-HR"/>
        </w:rPr>
        <w:t>.</w:t>
      </w:r>
    </w:p>
    <w:p w:rsidR="008F0733" w:rsidRDefault="007254CD" w:rsidP="00B2783A">
      <w:pPr>
        <w:spacing w:after="48"/>
        <w:ind w:firstLine="408"/>
        <w:jc w:val="both"/>
        <w:rPr>
          <w:sz w:val="24"/>
          <w:szCs w:val="24"/>
          <w:lang w:val="hr-HR"/>
        </w:rPr>
      </w:pPr>
      <w:r w:rsidRPr="003A2ED2">
        <w:rPr>
          <w:sz w:val="24"/>
          <w:szCs w:val="24"/>
          <w:lang w:val="hr-HR"/>
        </w:rPr>
        <w:t>Stupanjem na snagu ove odluke prestaje važiti</w:t>
      </w:r>
      <w:r w:rsidRPr="003A2ED2">
        <w:rPr>
          <w:sz w:val="24"/>
          <w:szCs w:val="24"/>
        </w:rPr>
        <w:t xml:space="preserve"> </w:t>
      </w:r>
      <w:r w:rsidR="008F0733" w:rsidRPr="003A2ED2">
        <w:rPr>
          <w:sz w:val="24"/>
          <w:szCs w:val="24"/>
          <w:lang w:val="hr-HR"/>
        </w:rPr>
        <w:t xml:space="preserve">Odluka o porezima Općine Starigrad („Službeni glasnik Zadarske županije“ br.  </w:t>
      </w:r>
      <w:r w:rsidR="002D1C9A" w:rsidRPr="003A2ED2">
        <w:rPr>
          <w:sz w:val="24"/>
          <w:szCs w:val="24"/>
          <w:lang w:val="hr-HR"/>
        </w:rPr>
        <w:t>6/17 i</w:t>
      </w:r>
      <w:r w:rsidR="001F37A2" w:rsidRPr="003A2ED2">
        <w:rPr>
          <w:sz w:val="24"/>
          <w:szCs w:val="24"/>
          <w:lang w:val="hr-HR"/>
        </w:rPr>
        <w:t xml:space="preserve"> 21/17</w:t>
      </w:r>
      <w:r w:rsidRPr="003A2ED2">
        <w:rPr>
          <w:sz w:val="24"/>
          <w:szCs w:val="24"/>
          <w:lang w:val="hr-HR"/>
        </w:rPr>
        <w:t>).</w:t>
      </w:r>
    </w:p>
    <w:p w:rsidR="00B2783A" w:rsidRDefault="00B2783A" w:rsidP="00B2783A">
      <w:pPr>
        <w:spacing w:after="48"/>
        <w:ind w:firstLine="408"/>
        <w:jc w:val="both"/>
        <w:rPr>
          <w:sz w:val="24"/>
          <w:szCs w:val="24"/>
          <w:lang w:val="hr-HR"/>
        </w:rPr>
      </w:pPr>
    </w:p>
    <w:p w:rsidR="00B2783A" w:rsidRPr="003A2ED2" w:rsidRDefault="00B2783A" w:rsidP="00B2783A">
      <w:pPr>
        <w:spacing w:after="48"/>
        <w:ind w:firstLine="408"/>
        <w:jc w:val="both"/>
        <w:rPr>
          <w:sz w:val="24"/>
          <w:szCs w:val="24"/>
          <w:lang w:val="hr-HR"/>
        </w:rPr>
      </w:pPr>
    </w:p>
    <w:p w:rsidR="008F0733" w:rsidRPr="003A2ED2" w:rsidRDefault="008F0733" w:rsidP="008F0733">
      <w:pPr>
        <w:spacing w:before="103" w:after="48"/>
        <w:jc w:val="center"/>
        <w:rPr>
          <w:b/>
          <w:sz w:val="24"/>
          <w:szCs w:val="24"/>
          <w:lang w:val="hr-HR"/>
        </w:rPr>
      </w:pPr>
      <w:r w:rsidRPr="003A2ED2">
        <w:rPr>
          <w:b/>
          <w:sz w:val="24"/>
          <w:szCs w:val="24"/>
          <w:lang w:val="hr-HR"/>
        </w:rPr>
        <w:t xml:space="preserve">Članak </w:t>
      </w:r>
      <w:r w:rsidR="00087406">
        <w:rPr>
          <w:b/>
          <w:sz w:val="24"/>
          <w:szCs w:val="24"/>
          <w:lang w:val="hr-HR"/>
        </w:rPr>
        <w:t xml:space="preserve">20 </w:t>
      </w:r>
      <w:r w:rsidRPr="003A2ED2">
        <w:rPr>
          <w:b/>
          <w:sz w:val="24"/>
          <w:szCs w:val="24"/>
          <w:lang w:val="hr-HR"/>
        </w:rPr>
        <w:t>.</w:t>
      </w:r>
    </w:p>
    <w:p w:rsidR="008F0733" w:rsidRPr="003A2ED2" w:rsidRDefault="008F0733" w:rsidP="00C37D21">
      <w:pPr>
        <w:spacing w:after="48"/>
        <w:ind w:firstLine="408"/>
        <w:jc w:val="both"/>
        <w:rPr>
          <w:sz w:val="24"/>
          <w:szCs w:val="24"/>
          <w:lang w:val="hr-HR"/>
        </w:rPr>
      </w:pPr>
      <w:r w:rsidRPr="003A2ED2">
        <w:rPr>
          <w:sz w:val="24"/>
          <w:szCs w:val="24"/>
          <w:lang w:val="hr-HR"/>
        </w:rPr>
        <w:t xml:space="preserve">Ova Odluka stupa na snagu </w:t>
      </w:r>
      <w:r w:rsidR="00C37D21" w:rsidRPr="003A2ED2">
        <w:rPr>
          <w:sz w:val="24"/>
          <w:szCs w:val="24"/>
          <w:shd w:val="clear" w:color="auto" w:fill="FFFFFF"/>
          <w:lang w:val="hr-HR"/>
        </w:rPr>
        <w:t xml:space="preserve">1. siječnja 2024. godine i objavit će se </w:t>
      </w:r>
      <w:r w:rsidRPr="003A2ED2">
        <w:rPr>
          <w:sz w:val="24"/>
          <w:szCs w:val="24"/>
          <w:lang w:val="hr-HR"/>
        </w:rPr>
        <w:t>u „Službenom glasniku Zadarske županije“.</w:t>
      </w:r>
    </w:p>
    <w:p w:rsidR="008F0733" w:rsidRPr="003A2ED2" w:rsidRDefault="008F0733" w:rsidP="008F0733">
      <w:pPr>
        <w:spacing w:after="48"/>
        <w:ind w:firstLine="408"/>
        <w:rPr>
          <w:sz w:val="24"/>
          <w:szCs w:val="24"/>
        </w:rPr>
      </w:pPr>
    </w:p>
    <w:p w:rsidR="008F0733" w:rsidRPr="00CC19D7" w:rsidRDefault="008F0733" w:rsidP="008F0733">
      <w:pPr>
        <w:jc w:val="both"/>
        <w:rPr>
          <w:sz w:val="24"/>
          <w:szCs w:val="24"/>
          <w:lang w:val="pt-PT"/>
        </w:rPr>
      </w:pPr>
      <w:r w:rsidRPr="001C0FFE">
        <w:rPr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Pr="00CC19D7">
        <w:rPr>
          <w:sz w:val="24"/>
          <w:szCs w:val="24"/>
          <w:lang w:val="pt-PT"/>
        </w:rPr>
        <w:t>Predsjednik</w:t>
      </w:r>
    </w:p>
    <w:p w:rsidR="008F0733" w:rsidRPr="00CC19D7" w:rsidRDefault="008F0733" w:rsidP="008F0733">
      <w:pPr>
        <w:jc w:val="both"/>
        <w:rPr>
          <w:sz w:val="24"/>
          <w:szCs w:val="24"/>
          <w:lang w:val="pt-PT"/>
        </w:rPr>
      </w:pPr>
    </w:p>
    <w:p w:rsidR="004B14E0" w:rsidRDefault="008F0733" w:rsidP="00F86DCC">
      <w:pPr>
        <w:jc w:val="both"/>
        <w:rPr>
          <w:sz w:val="24"/>
          <w:szCs w:val="24"/>
          <w:lang w:val="pt-PT"/>
        </w:rPr>
      </w:pPr>
      <w:r w:rsidRPr="00CC19D7">
        <w:rPr>
          <w:sz w:val="24"/>
          <w:szCs w:val="24"/>
          <w:lang w:val="pt-PT"/>
        </w:rPr>
        <w:t xml:space="preserve">                                                                                                      Marko Marasović, dipl. ing. građ.</w:t>
      </w: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Default="007254CD" w:rsidP="00F86DCC">
      <w:pPr>
        <w:jc w:val="both"/>
        <w:rPr>
          <w:sz w:val="24"/>
          <w:szCs w:val="24"/>
          <w:lang w:val="pt-PT"/>
        </w:rPr>
      </w:pPr>
    </w:p>
    <w:p w:rsidR="007254CD" w:rsidRPr="00F86DCC" w:rsidRDefault="007254CD" w:rsidP="00F86DCC">
      <w:pPr>
        <w:jc w:val="both"/>
        <w:rPr>
          <w:sz w:val="24"/>
          <w:szCs w:val="24"/>
          <w:lang w:val="pt-PT"/>
        </w:rPr>
      </w:pPr>
    </w:p>
    <w:sectPr w:rsidR="007254CD" w:rsidRPr="00F86DCC" w:rsidSect="004B14E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C7" w:rsidRDefault="006D4EC7" w:rsidP="00B2783A">
      <w:r>
        <w:separator/>
      </w:r>
    </w:p>
  </w:endnote>
  <w:endnote w:type="continuationSeparator" w:id="1">
    <w:p w:rsidR="006D4EC7" w:rsidRDefault="006D4EC7" w:rsidP="00B2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C7" w:rsidRDefault="006D4EC7" w:rsidP="00B2783A">
      <w:r>
        <w:separator/>
      </w:r>
    </w:p>
  </w:footnote>
  <w:footnote w:type="continuationSeparator" w:id="1">
    <w:p w:rsidR="006D4EC7" w:rsidRDefault="006D4EC7" w:rsidP="00B27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C7" w:rsidRPr="00B2783A" w:rsidRDefault="006D4EC7">
    <w:pPr>
      <w:pStyle w:val="Header"/>
      <w:rPr>
        <w:i/>
      </w:rPr>
    </w:pPr>
    <w:r w:rsidRPr="00B2783A">
      <w:rPr>
        <w:i/>
      </w:rPr>
      <w:t>NACRT PRIJEDLOGA</w:t>
    </w:r>
  </w:p>
  <w:p w:rsidR="006D4EC7" w:rsidRDefault="006D4E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550"/>
    <w:multiLevelType w:val="hybridMultilevel"/>
    <w:tmpl w:val="BF883F62"/>
    <w:lvl w:ilvl="0" w:tplc="B5E0E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93BFF"/>
    <w:multiLevelType w:val="hybridMultilevel"/>
    <w:tmpl w:val="443077E8"/>
    <w:lvl w:ilvl="0" w:tplc="9872D9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733"/>
    <w:rsid w:val="00042DF3"/>
    <w:rsid w:val="00043384"/>
    <w:rsid w:val="00087406"/>
    <w:rsid w:val="001525DA"/>
    <w:rsid w:val="00180E05"/>
    <w:rsid w:val="00186BA8"/>
    <w:rsid w:val="001F37A2"/>
    <w:rsid w:val="002D1C9A"/>
    <w:rsid w:val="003252A6"/>
    <w:rsid w:val="003A2ED2"/>
    <w:rsid w:val="004B14E0"/>
    <w:rsid w:val="004D6D98"/>
    <w:rsid w:val="005E6BB8"/>
    <w:rsid w:val="00603C20"/>
    <w:rsid w:val="006D4EC7"/>
    <w:rsid w:val="007254CD"/>
    <w:rsid w:val="008A574E"/>
    <w:rsid w:val="008F0733"/>
    <w:rsid w:val="009F7765"/>
    <w:rsid w:val="00B2783A"/>
    <w:rsid w:val="00B96331"/>
    <w:rsid w:val="00BB7955"/>
    <w:rsid w:val="00C37D21"/>
    <w:rsid w:val="00C43666"/>
    <w:rsid w:val="00D05534"/>
    <w:rsid w:val="00DB2297"/>
    <w:rsid w:val="00F86DCC"/>
    <w:rsid w:val="00FA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33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07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3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33"/>
    <w:rPr>
      <w:rFonts w:ascii="Tahoma" w:eastAsia="Times New Roman" w:hAnsi="Tahoma" w:cs="Tahoma"/>
      <w:sz w:val="16"/>
      <w:szCs w:val="16"/>
      <w:lang w:val="en-GB" w:eastAsia="hr-HR"/>
    </w:rPr>
  </w:style>
  <w:style w:type="paragraph" w:customStyle="1" w:styleId="box453556">
    <w:name w:val="box_453556"/>
    <w:basedOn w:val="Normal"/>
    <w:rsid w:val="008F07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character" w:customStyle="1" w:styleId="apple-converted-space">
    <w:name w:val="apple-converted-space"/>
    <w:basedOn w:val="DefaultParagraphFont"/>
    <w:rsid w:val="008F0733"/>
  </w:style>
  <w:style w:type="paragraph" w:styleId="Footer">
    <w:name w:val="footer"/>
    <w:basedOn w:val="Normal"/>
    <w:link w:val="FooterChar"/>
    <w:uiPriority w:val="99"/>
    <w:semiHidden/>
    <w:unhideWhenUsed/>
    <w:rsid w:val="00B2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83A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11</cp:revision>
  <dcterms:created xsi:type="dcterms:W3CDTF">2023-10-18T10:59:00Z</dcterms:created>
  <dcterms:modified xsi:type="dcterms:W3CDTF">2023-10-20T11:46:00Z</dcterms:modified>
</cp:coreProperties>
</file>