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Obrazloženje </w:t>
      </w:r>
      <w:r w:rsidR="004916AF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I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I. izmjena i dopuna proračuna Općine </w:t>
      </w:r>
    </w:p>
    <w:p w:rsidR="00212F4D" w:rsidRPr="00070B32" w:rsidRDefault="00212F4D" w:rsidP="00212F4D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Starigrad za 202</w:t>
      </w:r>
      <w:r>
        <w:rPr>
          <w:rFonts w:ascii="Bahnschrift SemiBold SemiConden" w:hAnsi="Bahnschrift SemiBold SemiConden" w:cs="Times New Roman"/>
          <w:b/>
          <w:smallCaps/>
          <w:sz w:val="32"/>
          <w:szCs w:val="32"/>
        </w:rPr>
        <w:t>3</w:t>
      </w:r>
      <w:r w:rsidRPr="00070B32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godinu 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212F4D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A532DC">
        <w:rPr>
          <w:rFonts w:ascii="Times New Roman" w:hAnsi="Times New Roman" w:cs="Times New Roman"/>
          <w:sz w:val="24"/>
          <w:szCs w:val="24"/>
        </w:rPr>
        <w:t xml:space="preserve">Proračun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kao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532DC">
        <w:rPr>
          <w:rFonts w:ascii="Times New Roman" w:hAnsi="Times New Roman" w:cs="Times New Roman"/>
          <w:sz w:val="24"/>
          <w:szCs w:val="24"/>
        </w:rPr>
        <w:t>rojekcije proračuna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32DC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godinu usvojene su na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532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32DC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 xml:space="preserve"> Općinskoj vijeća Općine Starigrad održanoj 17</w:t>
      </w:r>
      <w:r w:rsidRPr="00A532DC">
        <w:rPr>
          <w:rFonts w:ascii="Times New Roman" w:hAnsi="Times New Roman" w:cs="Times New Roman"/>
          <w:sz w:val="24"/>
          <w:szCs w:val="24"/>
        </w:rPr>
        <w:t>. studenog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532DC">
        <w:rPr>
          <w:rFonts w:ascii="Times New Roman" w:hAnsi="Times New Roman" w:cs="Times New Roman"/>
          <w:sz w:val="24"/>
          <w:szCs w:val="24"/>
        </w:rPr>
        <w:t xml:space="preserve">. godine,  a objavljen je u </w:t>
      </w:r>
      <w:r>
        <w:rPr>
          <w:rFonts w:ascii="Times New Roman" w:hAnsi="Times New Roman" w:cs="Times New Roman"/>
          <w:sz w:val="24"/>
          <w:szCs w:val="24"/>
        </w:rPr>
        <w:t>Službenom glasniku Zadarske županije broj 31/22.</w:t>
      </w:r>
      <w:r w:rsidR="004916AF" w:rsidRPr="004916AF">
        <w:rPr>
          <w:rFonts w:ascii="Times New Roman" w:hAnsi="Times New Roman" w:cs="Times New Roman"/>
          <w:sz w:val="24"/>
          <w:szCs w:val="24"/>
        </w:rPr>
        <w:t xml:space="preserve"> </w:t>
      </w:r>
      <w:r w:rsidR="004916AF" w:rsidRPr="00070B32">
        <w:rPr>
          <w:rFonts w:ascii="Times New Roman" w:hAnsi="Times New Roman" w:cs="Times New Roman"/>
          <w:sz w:val="24"/>
          <w:szCs w:val="24"/>
        </w:rPr>
        <w:t>Prve izmjene i dopune Proračuna Općine Starigrad za 202</w:t>
      </w:r>
      <w:r w:rsidR="004916AF">
        <w:rPr>
          <w:rFonts w:ascii="Times New Roman" w:hAnsi="Times New Roman" w:cs="Times New Roman"/>
          <w:sz w:val="24"/>
          <w:szCs w:val="24"/>
        </w:rPr>
        <w:t xml:space="preserve">2. godinu </w:t>
      </w:r>
      <w:r w:rsidR="004916AF" w:rsidRPr="00070B32">
        <w:rPr>
          <w:rFonts w:ascii="Times New Roman" w:hAnsi="Times New Roman" w:cs="Times New Roman"/>
          <w:sz w:val="24"/>
          <w:szCs w:val="24"/>
        </w:rPr>
        <w:t xml:space="preserve">usvojene su na </w:t>
      </w:r>
      <w:r w:rsidR="004916AF">
        <w:rPr>
          <w:rFonts w:ascii="Times New Roman" w:hAnsi="Times New Roman" w:cs="Times New Roman"/>
          <w:sz w:val="24"/>
          <w:szCs w:val="24"/>
        </w:rPr>
        <w:t>10</w:t>
      </w:r>
      <w:r w:rsidR="004916AF" w:rsidRPr="00070B32">
        <w:rPr>
          <w:rFonts w:ascii="Times New Roman" w:hAnsi="Times New Roman" w:cs="Times New Roman"/>
          <w:sz w:val="24"/>
          <w:szCs w:val="24"/>
        </w:rPr>
        <w:t>. Sjednici Općinskoj vijeća Općine Starigrad održanoj 1</w:t>
      </w:r>
      <w:r w:rsidR="004916AF">
        <w:rPr>
          <w:rFonts w:ascii="Times New Roman" w:hAnsi="Times New Roman" w:cs="Times New Roman"/>
          <w:sz w:val="24"/>
          <w:szCs w:val="24"/>
        </w:rPr>
        <w:t>5</w:t>
      </w:r>
      <w:r w:rsidR="004916AF" w:rsidRPr="00070B32">
        <w:rPr>
          <w:rFonts w:ascii="Times New Roman" w:hAnsi="Times New Roman" w:cs="Times New Roman"/>
          <w:sz w:val="24"/>
          <w:szCs w:val="24"/>
        </w:rPr>
        <w:t xml:space="preserve">. </w:t>
      </w:r>
      <w:r w:rsidR="004916AF">
        <w:rPr>
          <w:rFonts w:ascii="Times New Roman" w:hAnsi="Times New Roman" w:cs="Times New Roman"/>
          <w:sz w:val="24"/>
          <w:szCs w:val="24"/>
        </w:rPr>
        <w:t>veljače 2023</w:t>
      </w:r>
      <w:r w:rsidR="004916AF" w:rsidRPr="00070B32">
        <w:rPr>
          <w:rFonts w:ascii="Times New Roman" w:hAnsi="Times New Roman" w:cs="Times New Roman"/>
          <w:sz w:val="24"/>
          <w:szCs w:val="24"/>
        </w:rPr>
        <w:t xml:space="preserve">. godine,  a objavljen je u Službenom glasniku Zadarske županije broj </w:t>
      </w:r>
      <w:r w:rsidR="004916AF">
        <w:rPr>
          <w:rFonts w:ascii="Times New Roman" w:hAnsi="Times New Roman" w:cs="Times New Roman"/>
          <w:sz w:val="24"/>
          <w:szCs w:val="24"/>
        </w:rPr>
        <w:t>04/23</w:t>
      </w:r>
      <w:r w:rsidR="004916AF" w:rsidRPr="00070B32">
        <w:rPr>
          <w:rFonts w:ascii="Times New Roman" w:hAnsi="Times New Roman" w:cs="Times New Roman"/>
          <w:sz w:val="24"/>
          <w:szCs w:val="24"/>
        </w:rPr>
        <w:t>.</w:t>
      </w:r>
    </w:p>
    <w:p w:rsidR="00D677D0" w:rsidRDefault="00D677D0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D677D0">
        <w:rPr>
          <w:rFonts w:ascii="Times New Roman" w:hAnsi="Times New Roman" w:cs="Times New Roman"/>
          <w:sz w:val="24"/>
          <w:szCs w:val="24"/>
        </w:rPr>
        <w:t>Na osnovi članka 45. Zakona o proračunu („Narodne novine“ broj 144/21) predstavničko tijelo donosi izmjene i dopune proračuna za tekuću godinu na razini skupine ekonomske klasifikacije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77D0">
        <w:rPr>
          <w:rFonts w:ascii="Times New Roman" w:hAnsi="Times New Roman" w:cs="Times New Roman"/>
          <w:sz w:val="24"/>
          <w:szCs w:val="24"/>
        </w:rPr>
        <w:t>Izmjenama i dopunama proračuna mijenja se isključivo plan za tekuću proračunsku godinu.</w:t>
      </w:r>
      <w:r w:rsidRPr="00D677D0">
        <w:t xml:space="preserve"> </w:t>
      </w:r>
      <w:r w:rsidRPr="00D677D0">
        <w:rPr>
          <w:rFonts w:ascii="Times New Roman" w:hAnsi="Times New Roman" w:cs="Times New Roman"/>
          <w:sz w:val="24"/>
          <w:szCs w:val="24"/>
        </w:rPr>
        <w:t>Izmjene i dopune proračuna sastoje se od plana za tekuću proračunsku godinu i sadrže opći i posebni dio te obrazloženje izmjena i dopuna proračuna.</w:t>
      </w:r>
    </w:p>
    <w:p w:rsidR="00B526FC" w:rsidRPr="00C7496C" w:rsidRDefault="00F81324" w:rsidP="00C7496C">
      <w:pPr>
        <w:jc w:val="both"/>
        <w:rPr>
          <w:rFonts w:ascii="CIDFont+F3" w:hAnsi="CIDFont+F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Ove I</w:t>
      </w:r>
      <w:r w:rsidR="004916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izmjene i dopune prorač</w:t>
      </w:r>
      <w:r w:rsidR="00212F4D">
        <w:rPr>
          <w:rFonts w:ascii="Times New Roman" w:hAnsi="Times New Roman" w:cs="Times New Roman"/>
          <w:sz w:val="24"/>
          <w:szCs w:val="24"/>
        </w:rPr>
        <w:t xml:space="preserve">una Općine Starigrad za 2023. godinu sastavljaju se </w:t>
      </w:r>
      <w:r w:rsidR="004916AF">
        <w:rPr>
          <w:rFonts w:ascii="Times New Roman" w:hAnsi="Times New Roman" w:cs="Times New Roman"/>
          <w:sz w:val="24"/>
          <w:szCs w:val="24"/>
        </w:rPr>
        <w:t xml:space="preserve">radi </w:t>
      </w:r>
      <w:r w:rsidR="004916AF" w:rsidRPr="00A532DC">
        <w:rPr>
          <w:rFonts w:ascii="Times New Roman" w:hAnsi="Times New Roman" w:cs="Times New Roman"/>
          <w:sz w:val="24"/>
          <w:szCs w:val="24"/>
        </w:rPr>
        <w:t>usklađivanj</w:t>
      </w:r>
      <w:r w:rsidR="004916AF">
        <w:rPr>
          <w:rFonts w:ascii="Times New Roman" w:hAnsi="Times New Roman" w:cs="Times New Roman"/>
          <w:sz w:val="24"/>
          <w:szCs w:val="24"/>
        </w:rPr>
        <w:t>a</w:t>
      </w:r>
      <w:r w:rsidR="004916AF" w:rsidRPr="00A532DC">
        <w:rPr>
          <w:rFonts w:ascii="Times New Roman" w:hAnsi="Times New Roman" w:cs="Times New Roman"/>
          <w:sz w:val="24"/>
          <w:szCs w:val="24"/>
        </w:rPr>
        <w:t xml:space="preserve"> prihoda i rashoda Proračuna sa ostvarenjem u tekućoj proračunskoj godini te </w:t>
      </w:r>
      <w:r w:rsidR="004916AF">
        <w:rPr>
          <w:rFonts w:ascii="Times New Roman" w:hAnsi="Times New Roman" w:cs="Times New Roman"/>
          <w:sz w:val="24"/>
          <w:szCs w:val="24"/>
        </w:rPr>
        <w:t xml:space="preserve">usklađivanja planiranih projekata sa postignutnim cijenama temljem Zakona o javnoj nabavi i planiranog ostvarenja do kraja godine sukladno dinamici radova, te </w:t>
      </w:r>
      <w:r w:rsidR="004916AF" w:rsidRPr="00A532DC">
        <w:rPr>
          <w:rFonts w:ascii="Times New Roman" w:hAnsi="Times New Roman" w:cs="Times New Roman"/>
          <w:sz w:val="24"/>
          <w:szCs w:val="24"/>
        </w:rPr>
        <w:t>rasporeda rezultata poslovanja iz 20</w:t>
      </w:r>
      <w:r w:rsidR="004916AF">
        <w:rPr>
          <w:rFonts w:ascii="Times New Roman" w:hAnsi="Times New Roman" w:cs="Times New Roman"/>
          <w:sz w:val="24"/>
          <w:szCs w:val="24"/>
        </w:rPr>
        <w:t>22</w:t>
      </w:r>
      <w:r w:rsidR="004916AF" w:rsidRPr="00A532DC">
        <w:rPr>
          <w:rFonts w:ascii="Times New Roman" w:hAnsi="Times New Roman" w:cs="Times New Roman"/>
          <w:sz w:val="24"/>
          <w:szCs w:val="24"/>
        </w:rPr>
        <w:t xml:space="preserve">. </w:t>
      </w:r>
      <w:r w:rsidR="004916AF">
        <w:rPr>
          <w:rFonts w:ascii="Times New Roman" w:hAnsi="Times New Roman" w:cs="Times New Roman"/>
          <w:sz w:val="24"/>
          <w:szCs w:val="24"/>
        </w:rPr>
        <w:t>g</w:t>
      </w:r>
      <w:r w:rsidR="004916AF" w:rsidRPr="00A532DC">
        <w:rPr>
          <w:rFonts w:ascii="Times New Roman" w:hAnsi="Times New Roman" w:cs="Times New Roman"/>
          <w:sz w:val="24"/>
          <w:szCs w:val="24"/>
        </w:rPr>
        <w:t>odine</w:t>
      </w:r>
      <w:r w:rsidR="004916AF">
        <w:rPr>
          <w:rFonts w:ascii="Times New Roman" w:hAnsi="Times New Roman" w:cs="Times New Roman"/>
          <w:sz w:val="24"/>
          <w:szCs w:val="24"/>
        </w:rPr>
        <w:t>.</w:t>
      </w:r>
    </w:p>
    <w:p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:rsidR="00993B4B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:rsidR="003E2139" w:rsidRDefault="00212F4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16A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2DC">
        <w:rPr>
          <w:rFonts w:ascii="Times New Roman" w:hAnsi="Times New Roman" w:cs="Times New Roman"/>
          <w:sz w:val="24"/>
          <w:szCs w:val="24"/>
        </w:rPr>
        <w:t xml:space="preserve"> Izmjenama i dopunama Proračuna </w:t>
      </w:r>
      <w:r>
        <w:rPr>
          <w:rFonts w:ascii="Times New Roman" w:hAnsi="Times New Roman" w:cs="Times New Roman"/>
          <w:sz w:val="24"/>
          <w:szCs w:val="24"/>
        </w:rPr>
        <w:t>Općine Starigrad</w:t>
      </w:r>
      <w:r w:rsidRPr="00A532DC">
        <w:rPr>
          <w:rFonts w:ascii="Times New Roman" w:hAnsi="Times New Roman" w:cs="Times New Roman"/>
          <w:sz w:val="24"/>
          <w:szCs w:val="24"/>
        </w:rPr>
        <w:t xml:space="preserve"> predlaže se proračun </w:t>
      </w:r>
      <w:r w:rsidRPr="00A10A0C">
        <w:rPr>
          <w:rFonts w:ascii="Times New Roman" w:hAnsi="Times New Roman" w:cs="Times New Roman"/>
          <w:sz w:val="24"/>
          <w:szCs w:val="24"/>
        </w:rPr>
        <w:t xml:space="preserve">u iznosu </w:t>
      </w:r>
      <w:r w:rsidR="00CF39CA" w:rsidRPr="00A10A0C">
        <w:rPr>
          <w:rFonts w:ascii="Times New Roman" w:hAnsi="Times New Roman" w:cs="Times New Roman"/>
          <w:sz w:val="24"/>
          <w:szCs w:val="24"/>
        </w:rPr>
        <w:t>4.2</w:t>
      </w:r>
      <w:r w:rsidR="00ED620B">
        <w:rPr>
          <w:rFonts w:ascii="Times New Roman" w:hAnsi="Times New Roman" w:cs="Times New Roman"/>
          <w:sz w:val="24"/>
          <w:szCs w:val="24"/>
        </w:rPr>
        <w:t>44</w:t>
      </w:r>
      <w:r w:rsidR="004916AF">
        <w:rPr>
          <w:rFonts w:ascii="Times New Roman" w:hAnsi="Times New Roman" w:cs="Times New Roman"/>
          <w:sz w:val="24"/>
          <w:szCs w:val="24"/>
        </w:rPr>
        <w:t>.657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A3B89" w:rsidRPr="00A10A0C">
        <w:rPr>
          <w:rFonts w:ascii="Times New Roman" w:hAnsi="Times New Roman" w:cs="Times New Roman"/>
          <w:sz w:val="24"/>
          <w:szCs w:val="24"/>
        </w:rPr>
        <w:t xml:space="preserve"> EUR </w:t>
      </w:r>
      <w:r w:rsidRPr="00A10A0C">
        <w:rPr>
          <w:rFonts w:ascii="Times New Roman" w:hAnsi="Times New Roman" w:cs="Times New Roman"/>
          <w:sz w:val="24"/>
          <w:szCs w:val="24"/>
        </w:rPr>
        <w:t xml:space="preserve">što je povećanje za </w:t>
      </w:r>
      <w:r w:rsidR="00ED620B">
        <w:rPr>
          <w:rFonts w:ascii="Times New Roman" w:hAnsi="Times New Roman" w:cs="Times New Roman"/>
          <w:sz w:val="24"/>
          <w:szCs w:val="24"/>
        </w:rPr>
        <w:t>2</w:t>
      </w:r>
      <w:r w:rsidR="004916AF">
        <w:rPr>
          <w:rFonts w:ascii="Times New Roman" w:hAnsi="Times New Roman" w:cs="Times New Roman"/>
          <w:sz w:val="24"/>
          <w:szCs w:val="24"/>
        </w:rPr>
        <w:t>6.979,00</w:t>
      </w:r>
      <w:r w:rsidR="008A3B89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 odnosno za </w:t>
      </w:r>
      <w:r w:rsidR="00ED620B">
        <w:rPr>
          <w:rFonts w:ascii="Times New Roman" w:hAnsi="Times New Roman" w:cs="Times New Roman"/>
          <w:sz w:val="24"/>
          <w:szCs w:val="24"/>
        </w:rPr>
        <w:t>0,64</w:t>
      </w:r>
      <w:r w:rsidRPr="00A10A0C">
        <w:rPr>
          <w:rFonts w:ascii="Times New Roman" w:hAnsi="Times New Roman" w:cs="Times New Roman"/>
          <w:sz w:val="24"/>
          <w:szCs w:val="24"/>
        </w:rPr>
        <w:t xml:space="preserve"> % u odnosu na Proračun za 202</w:t>
      </w:r>
      <w:r w:rsidR="008A3B89" w:rsidRPr="00A10A0C">
        <w:rPr>
          <w:rFonts w:ascii="Times New Roman" w:hAnsi="Times New Roman" w:cs="Times New Roman"/>
          <w:sz w:val="24"/>
          <w:szCs w:val="24"/>
        </w:rPr>
        <w:t>3</w:t>
      </w:r>
      <w:r w:rsidRPr="00A10A0C">
        <w:rPr>
          <w:rFonts w:ascii="Times New Roman" w:hAnsi="Times New Roman" w:cs="Times New Roman"/>
          <w:sz w:val="24"/>
          <w:szCs w:val="24"/>
        </w:rPr>
        <w:t>. godinu.</w:t>
      </w:r>
      <w:r w:rsidRPr="00A532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B89" w:rsidRDefault="008A3B8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9CA" w:rsidRDefault="00CF39CA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8A3B89">
        <w:rPr>
          <w:rFonts w:ascii="Times New Roman" w:hAnsi="Times New Roman" w:cs="Times New Roman"/>
          <w:sz w:val="24"/>
          <w:szCs w:val="24"/>
        </w:rPr>
        <w:t xml:space="preserve">ovim </w:t>
      </w:r>
      <w:r w:rsidR="008345EE">
        <w:rPr>
          <w:rFonts w:ascii="Times New Roman" w:hAnsi="Times New Roman" w:cs="Times New Roman"/>
          <w:sz w:val="24"/>
          <w:szCs w:val="24"/>
        </w:rPr>
        <w:t>I</w:t>
      </w:r>
      <w:r w:rsidR="004916AF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>.</w:t>
      </w:r>
      <w:r w:rsidR="008A3B89">
        <w:rPr>
          <w:rFonts w:ascii="Times New Roman" w:hAnsi="Times New Roman" w:cs="Times New Roman"/>
          <w:sz w:val="24"/>
          <w:szCs w:val="24"/>
        </w:rPr>
        <w:t xml:space="preserve"> izmjenama i dopunama iznose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916AF" w:rsidRPr="00A10A0C">
        <w:rPr>
          <w:rFonts w:ascii="Times New Roman" w:hAnsi="Times New Roman" w:cs="Times New Roman"/>
          <w:sz w:val="24"/>
          <w:szCs w:val="24"/>
        </w:rPr>
        <w:t>4.2</w:t>
      </w:r>
      <w:r w:rsidR="00ED620B">
        <w:rPr>
          <w:rFonts w:ascii="Times New Roman" w:hAnsi="Times New Roman" w:cs="Times New Roman"/>
          <w:sz w:val="24"/>
          <w:szCs w:val="24"/>
        </w:rPr>
        <w:t>4</w:t>
      </w:r>
      <w:r w:rsidR="004916AF">
        <w:rPr>
          <w:rFonts w:ascii="Times New Roman" w:hAnsi="Times New Roman" w:cs="Times New Roman"/>
          <w:sz w:val="24"/>
          <w:szCs w:val="24"/>
        </w:rPr>
        <w:t>4.657</w:t>
      </w:r>
      <w:r w:rsidR="004916AF" w:rsidRPr="00A10A0C">
        <w:rPr>
          <w:rFonts w:ascii="Times New Roman" w:hAnsi="Times New Roman" w:cs="Times New Roman"/>
          <w:sz w:val="24"/>
          <w:szCs w:val="24"/>
        </w:rPr>
        <w:t xml:space="preserve">,00 </w:t>
      </w:r>
      <w:r w:rsidR="00906238" w:rsidRPr="00A10A0C">
        <w:rPr>
          <w:rFonts w:ascii="Times New Roman" w:hAnsi="Times New Roman" w:cs="Times New Roman"/>
          <w:sz w:val="24"/>
          <w:szCs w:val="24"/>
        </w:rPr>
        <w:t>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4916AF">
        <w:rPr>
          <w:rFonts w:ascii="Times New Roman" w:hAnsi="Times New Roman" w:cs="Times New Roman"/>
          <w:sz w:val="24"/>
          <w:szCs w:val="24"/>
        </w:rPr>
        <w:t>3.0</w:t>
      </w:r>
      <w:r w:rsidR="00ED620B">
        <w:rPr>
          <w:rFonts w:ascii="Times New Roman" w:hAnsi="Times New Roman" w:cs="Times New Roman"/>
          <w:sz w:val="24"/>
          <w:szCs w:val="24"/>
        </w:rPr>
        <w:t>0</w:t>
      </w:r>
      <w:r w:rsidR="004916AF">
        <w:rPr>
          <w:rFonts w:ascii="Times New Roman" w:hAnsi="Times New Roman" w:cs="Times New Roman"/>
          <w:sz w:val="24"/>
          <w:szCs w:val="24"/>
        </w:rPr>
        <w:t>3.396,00</w:t>
      </w:r>
      <w:r w:rsidR="00906238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102E">
        <w:rPr>
          <w:rFonts w:ascii="Times New Roman" w:hAnsi="Times New Roman" w:cs="Times New Roman"/>
          <w:sz w:val="24"/>
          <w:szCs w:val="24"/>
        </w:rPr>
        <w:t>119.450,00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</w:t>
      </w:r>
      <w:r w:rsidR="004916AF">
        <w:rPr>
          <w:rFonts w:ascii="Times New Roman" w:hAnsi="Times New Roman" w:cs="Times New Roman"/>
          <w:sz w:val="24"/>
          <w:szCs w:val="24"/>
        </w:rPr>
        <w:t>121.811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2627"/>
        <w:gridCol w:w="2247"/>
        <w:gridCol w:w="2599"/>
        <w:gridCol w:w="2381"/>
      </w:tblGrid>
      <w:tr w:rsidR="004916AF" w:rsidRPr="005601F5" w:rsidTr="004916AF">
        <w:tc>
          <w:tcPr>
            <w:tcW w:w="2627" w:type="dxa"/>
            <w:shd w:val="clear" w:color="auto" w:fill="E2EFD9" w:themeFill="accent6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247" w:type="dxa"/>
            <w:shd w:val="clear" w:color="auto" w:fill="E2EFD9" w:themeFill="accent6" w:themeFillTint="33"/>
          </w:tcPr>
          <w:p w:rsidR="004916AF" w:rsidRPr="005601F5" w:rsidRDefault="004916AF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  <w:shd w:val="clear" w:color="auto" w:fill="E2EFD9" w:themeFill="accent6" w:themeFillTint="33"/>
          </w:tcPr>
          <w:p w:rsidR="004916AF" w:rsidRPr="005601F5" w:rsidRDefault="004916AF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2023.</w:t>
            </w:r>
          </w:p>
        </w:tc>
        <w:tc>
          <w:tcPr>
            <w:tcW w:w="2381" w:type="dxa"/>
            <w:shd w:val="clear" w:color="auto" w:fill="E2EFD9" w:themeFill="accent6" w:themeFillTint="33"/>
          </w:tcPr>
          <w:p w:rsidR="004916AF" w:rsidRDefault="004916AF" w:rsidP="0076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2023.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DEEAF6" w:themeFill="accent1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2.951.102,00 EUR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4916AF" w:rsidRPr="008A3B89" w:rsidRDefault="004916AF" w:rsidP="00CF39C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2.966.102,00 EUR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:rsidR="004916AF" w:rsidRPr="00A10A0C" w:rsidRDefault="004916A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3.396,00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1.373.687,00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8A3B89" w:rsidRDefault="004916AF" w:rsidP="00CF39CA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1.388.687,00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Pr="00A10A0C" w:rsidRDefault="004916A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8.687,00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709.734,00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709.734,00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746.571,00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316.020,00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316.020,00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316.022,00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531.753,00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531.753,00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532.208,00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13.272,00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DEEAF6" w:themeFill="accent1" w:themeFillTint="33"/>
          </w:tcPr>
          <w:p w:rsidR="004916AF" w:rsidRPr="005601F5" w:rsidRDefault="004916AF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7 Prihodi od prodaje nefinancijske imovine 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16AF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 Prihodi od prodaje neproizvedene dugotrajne imovine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 Prihodi od prodaje proizvedene dugotrajne imovine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6AF" w:rsidRPr="005601F5" w:rsidRDefault="004916A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DEEAF6" w:themeFill="accent1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 Vlastiti izvori </w:t>
            </w:r>
          </w:p>
        </w:tc>
        <w:tc>
          <w:tcPr>
            <w:tcW w:w="2247" w:type="dxa"/>
            <w:shd w:val="clear" w:color="auto" w:fill="DEEAF6" w:themeFill="accent1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4916AF" w:rsidRPr="005601F5" w:rsidRDefault="004916AF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381" w:type="dxa"/>
            <w:shd w:val="clear" w:color="auto" w:fill="DEEAF6" w:themeFill="accent1" w:themeFillTint="33"/>
          </w:tcPr>
          <w:p w:rsidR="004916AF" w:rsidRDefault="004916AF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1.121.811,00 EUR</w:t>
            </w:r>
          </w:p>
        </w:tc>
      </w:tr>
      <w:tr w:rsidR="004916AF" w:rsidRPr="005601F5" w:rsidTr="004916AF">
        <w:tc>
          <w:tcPr>
            <w:tcW w:w="2627" w:type="dxa"/>
            <w:shd w:val="clear" w:color="auto" w:fill="FFF2CC" w:themeFill="accent4" w:themeFillTint="33"/>
          </w:tcPr>
          <w:p w:rsidR="004916AF" w:rsidRPr="005601F5" w:rsidRDefault="004916AF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92 Višak prihoda 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601F5" w:rsidRDefault="004916A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601F5" w:rsidRDefault="004916AF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1.132.126,00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Default="004916AF" w:rsidP="00E342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1.121.811,00 EUR</w:t>
            </w:r>
          </w:p>
        </w:tc>
      </w:tr>
      <w:tr w:rsidR="004916AF" w:rsidRPr="005C1052" w:rsidTr="004916AF">
        <w:tc>
          <w:tcPr>
            <w:tcW w:w="2627" w:type="dxa"/>
            <w:shd w:val="clear" w:color="auto" w:fill="FFF2CC" w:themeFill="accent4" w:themeFillTint="33"/>
          </w:tcPr>
          <w:p w:rsidR="004916AF" w:rsidRPr="005C1052" w:rsidRDefault="004916AF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2247" w:type="dxa"/>
            <w:shd w:val="clear" w:color="auto" w:fill="FFF2CC" w:themeFill="accent4" w:themeFillTint="33"/>
          </w:tcPr>
          <w:p w:rsidR="004916AF" w:rsidRPr="005C1052" w:rsidRDefault="004916AF" w:rsidP="004916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4.202.678,00 EUR</w:t>
            </w:r>
          </w:p>
        </w:tc>
        <w:tc>
          <w:tcPr>
            <w:tcW w:w="2599" w:type="dxa"/>
            <w:shd w:val="clear" w:color="auto" w:fill="FFF2CC" w:themeFill="accent4" w:themeFillTint="33"/>
          </w:tcPr>
          <w:p w:rsidR="004916AF" w:rsidRPr="005C1052" w:rsidRDefault="004916AF" w:rsidP="00CF3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4.217.678,00 EUR</w:t>
            </w:r>
          </w:p>
        </w:tc>
        <w:tc>
          <w:tcPr>
            <w:tcW w:w="2381" w:type="dxa"/>
            <w:shd w:val="clear" w:color="auto" w:fill="FFF2CC" w:themeFill="accent4" w:themeFillTint="33"/>
          </w:tcPr>
          <w:p w:rsidR="004916AF" w:rsidRPr="005C1052" w:rsidRDefault="004916AF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ED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4.657,00 EUR</w:t>
            </w:r>
          </w:p>
        </w:tc>
      </w:tr>
    </w:tbl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9E0A72" w:rsidRPr="00070B32" w:rsidRDefault="009E0A72" w:rsidP="009E0A72">
      <w:pPr>
        <w:jc w:val="both"/>
        <w:rPr>
          <w:rFonts w:ascii="Times New Roman" w:hAnsi="Times New Roman" w:cs="Times New Roman"/>
          <w:sz w:val="24"/>
          <w:szCs w:val="24"/>
        </w:rPr>
      </w:pPr>
      <w:r w:rsidRPr="00070B32">
        <w:rPr>
          <w:rFonts w:ascii="Times New Roman" w:hAnsi="Times New Roman" w:cs="Times New Roman"/>
          <w:sz w:val="24"/>
          <w:szCs w:val="24"/>
        </w:rPr>
        <w:t xml:space="preserve">Prihodi poslovanja iznose </w:t>
      </w:r>
      <w:r>
        <w:rPr>
          <w:rFonts w:ascii="Times New Roman" w:hAnsi="Times New Roman" w:cs="Times New Roman"/>
          <w:sz w:val="24"/>
          <w:szCs w:val="24"/>
        </w:rPr>
        <w:t>3.0</w:t>
      </w:r>
      <w:r w:rsidR="00ED62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3.396,00 EUR</w:t>
      </w:r>
      <w:r w:rsidRPr="00070B32">
        <w:rPr>
          <w:rFonts w:ascii="Times New Roman" w:hAnsi="Times New Roman" w:cs="Times New Roman"/>
          <w:sz w:val="24"/>
          <w:szCs w:val="24"/>
        </w:rPr>
        <w:t xml:space="preserve"> te se mijenjaju iznosi pojedinih prihoda sukladno dosadašnjem izvršenju i procjeni do kraja godine.</w:t>
      </w:r>
    </w:p>
    <w:p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poreza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9E0A72">
        <w:rPr>
          <w:rFonts w:ascii="Times New Roman" w:hAnsi="Times New Roman" w:cs="Times New Roman"/>
          <w:sz w:val="24"/>
          <w:szCs w:val="24"/>
        </w:rPr>
        <w:t>388.687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>na dohodak, poreza na imovinu koji se odnose na porez na kuće za odmor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  <w:r w:rsidR="008345EE" w:rsidRPr="00834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8157B">
        <w:rPr>
          <w:rFonts w:ascii="Times New Roman" w:hAnsi="Times New Roman" w:cs="Times New Roman"/>
          <w:sz w:val="24"/>
          <w:szCs w:val="24"/>
        </w:rPr>
        <w:t>709.734,00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Unutar prihoda od inozemstva  i od subjekata unutar općeg proračuna nalazi se i stavka prihoda Dječjeg vrtića „Osmjeh“ koja se odnosi na tekuće pomoći iz državnog proračuna. </w:t>
      </w:r>
      <w:r w:rsidR="009E0A72">
        <w:rPr>
          <w:rFonts w:ascii="Times New Roman" w:hAnsi="Times New Roman" w:cs="Times New Roman"/>
          <w:sz w:val="24"/>
          <w:szCs w:val="24"/>
        </w:rPr>
        <w:t>Ovim izmjenama i dopunama proračuna povećavaju se za iznos od 36.837,00 EUR odnosno za 5,2% i sada iznose 746.571,00 EUR. Do promjena dolazi radi usklađenja stavki kapitalnih pomoći iz državnog proračuna u skladu sa prijavama na javne pozive, te povećanja stavke tekućih pomoći iz državnog proračuna sukladno odluci Ministarstva financija o udjelu sredstava fiskalnog izravnanja za pojedinu općinu, grad i županiju.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316.020,00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9E0A72">
        <w:rPr>
          <w:rFonts w:ascii="Times New Roman" w:hAnsi="Times New Roman" w:cs="Times New Roman"/>
          <w:sz w:val="24"/>
          <w:szCs w:val="24"/>
        </w:rPr>
        <w:t xml:space="preserve">Ovim izmjenama i dopunama proračuna povećavaju se za iznos od 2,00 EUR i sada iznose </w:t>
      </w:r>
      <w:r w:rsidR="00CF36EB">
        <w:rPr>
          <w:rFonts w:ascii="Times New Roman" w:hAnsi="Times New Roman" w:cs="Times New Roman"/>
          <w:sz w:val="24"/>
          <w:szCs w:val="24"/>
        </w:rPr>
        <w:t>316.022</w:t>
      </w:r>
      <w:r w:rsidR="009E0A72">
        <w:rPr>
          <w:rFonts w:ascii="Times New Roman" w:hAnsi="Times New Roman" w:cs="Times New Roman"/>
          <w:sz w:val="24"/>
          <w:szCs w:val="24"/>
        </w:rPr>
        <w:t>,00 EUR.</w:t>
      </w:r>
      <w:r w:rsidR="00CF36EB">
        <w:rPr>
          <w:rFonts w:ascii="Times New Roman" w:hAnsi="Times New Roman" w:cs="Times New Roman"/>
          <w:sz w:val="24"/>
          <w:szCs w:val="24"/>
        </w:rPr>
        <w:t xml:space="preserve"> Do promjena dolazi kod stavke Dječjeg vrtića Osmjeh koji dodaje prihod od pripisa kamata na sredstva na računu u iznosu od 2,00 EUR.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531.753,00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  <w:r w:rsidR="00CF36EB" w:rsidRPr="00CF36EB">
        <w:rPr>
          <w:rFonts w:ascii="Times New Roman" w:hAnsi="Times New Roman" w:cs="Times New Roman"/>
          <w:sz w:val="24"/>
          <w:szCs w:val="24"/>
        </w:rPr>
        <w:t xml:space="preserve"> </w:t>
      </w:r>
      <w:r w:rsidR="00CF36EB">
        <w:rPr>
          <w:rFonts w:ascii="Times New Roman" w:hAnsi="Times New Roman" w:cs="Times New Roman"/>
          <w:sz w:val="24"/>
          <w:szCs w:val="24"/>
        </w:rPr>
        <w:t>Ovim izmjenama i dopunama proračuna povećavaju se za iznos od 455,00 EUR i sada iznose 532.208,00 EUR. Do promjena dolazi kod stavke Dječjeg vrtića Osmjeh koji povećava prihod od sufinanciranja cijene usluge za iznos od 455,00 EUR.</w:t>
      </w:r>
    </w:p>
    <w:p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planiranu su u iznosu od </w:t>
      </w:r>
      <w:r w:rsidR="0038157B">
        <w:rPr>
          <w:rFonts w:ascii="Times New Roman" w:hAnsi="Times New Roman" w:cs="Times New Roman"/>
          <w:sz w:val="24"/>
          <w:szCs w:val="24"/>
        </w:rPr>
        <w:t>13.272,00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A10A0C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6.636,00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6EB" w:rsidRPr="00CF36EB" w:rsidRDefault="00CF36E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119.450,00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  <w:r w:rsidR="008345EE">
        <w:rPr>
          <w:rFonts w:ascii="Times New Roman" w:hAnsi="Times New Roman" w:cs="Times New Roman"/>
          <w:sz w:val="24"/>
          <w:szCs w:val="24"/>
        </w:rPr>
        <w:t xml:space="preserve"> Kod prihoda od prodaje nefinancijske imovine ne dolazi do promjena ovim I</w:t>
      </w:r>
      <w:r w:rsidR="00CF36EB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>. izmjenama i dopunama proračuna za 2023. godinu.</w:t>
      </w:r>
    </w:p>
    <w:p w:rsidR="00A10A0C" w:rsidRDefault="00A10A0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CF36EB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1.132.126,00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1.128.144,00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38157B">
        <w:rPr>
          <w:rFonts w:ascii="Times New Roman" w:hAnsi="Times New Roman" w:cs="Times New Roman"/>
          <w:sz w:val="24"/>
          <w:szCs w:val="24"/>
        </w:rPr>
        <w:t>3.982,00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  <w:r w:rsidR="00CF36EB" w:rsidRPr="00CF36EB">
        <w:rPr>
          <w:rFonts w:ascii="Times New Roman" w:hAnsi="Times New Roman" w:cs="Times New Roman"/>
          <w:sz w:val="24"/>
          <w:szCs w:val="24"/>
        </w:rPr>
        <w:t xml:space="preserve"> </w:t>
      </w:r>
      <w:r w:rsidR="00CF36EB">
        <w:rPr>
          <w:rFonts w:ascii="Times New Roman" w:hAnsi="Times New Roman" w:cs="Times New Roman"/>
          <w:sz w:val="24"/>
          <w:szCs w:val="24"/>
        </w:rPr>
        <w:t xml:space="preserve">Ovim izmjenama i dopuna proračuna usklađena su stvarno ostvarenim viškom </w:t>
      </w:r>
      <w:r w:rsidR="00CF36EB" w:rsidRPr="009D5C4F">
        <w:rPr>
          <w:rFonts w:ascii="Times New Roman" w:hAnsi="Times New Roman" w:cs="Times New Roman"/>
          <w:sz w:val="24"/>
          <w:szCs w:val="24"/>
        </w:rPr>
        <w:t>prihod</w:t>
      </w:r>
      <w:r w:rsidR="00CF36EB">
        <w:rPr>
          <w:rFonts w:ascii="Times New Roman" w:hAnsi="Times New Roman" w:cs="Times New Roman"/>
          <w:sz w:val="24"/>
          <w:szCs w:val="24"/>
        </w:rPr>
        <w:t>a</w:t>
      </w:r>
      <w:r w:rsidR="00CF36EB" w:rsidRPr="009D5C4F">
        <w:rPr>
          <w:rFonts w:ascii="Times New Roman" w:hAnsi="Times New Roman" w:cs="Times New Roman"/>
          <w:sz w:val="24"/>
          <w:szCs w:val="24"/>
        </w:rPr>
        <w:t xml:space="preserve"> iz 20</w:t>
      </w:r>
      <w:r w:rsidR="00CF36EB">
        <w:rPr>
          <w:rFonts w:ascii="Times New Roman" w:hAnsi="Times New Roman" w:cs="Times New Roman"/>
          <w:sz w:val="24"/>
          <w:szCs w:val="24"/>
        </w:rPr>
        <w:t>22</w:t>
      </w:r>
      <w:r w:rsidR="00CF36EB" w:rsidRPr="009D5C4F">
        <w:rPr>
          <w:rFonts w:ascii="Times New Roman" w:hAnsi="Times New Roman" w:cs="Times New Roman"/>
          <w:sz w:val="24"/>
          <w:szCs w:val="24"/>
        </w:rPr>
        <w:t xml:space="preserve">. </w:t>
      </w:r>
      <w:r w:rsidR="00CF36EB">
        <w:rPr>
          <w:rFonts w:ascii="Times New Roman" w:hAnsi="Times New Roman" w:cs="Times New Roman"/>
          <w:sz w:val="24"/>
          <w:szCs w:val="24"/>
        </w:rPr>
        <w:t>g</w:t>
      </w:r>
      <w:r w:rsidR="00CF36EB" w:rsidRPr="009D5C4F">
        <w:rPr>
          <w:rFonts w:ascii="Times New Roman" w:hAnsi="Times New Roman" w:cs="Times New Roman"/>
          <w:sz w:val="24"/>
          <w:szCs w:val="24"/>
        </w:rPr>
        <w:t>odine</w:t>
      </w:r>
      <w:r w:rsidR="00CF36EB">
        <w:rPr>
          <w:rFonts w:ascii="Times New Roman" w:hAnsi="Times New Roman" w:cs="Times New Roman"/>
          <w:sz w:val="24"/>
          <w:szCs w:val="24"/>
        </w:rPr>
        <w:t xml:space="preserve"> sukladno financijskim izvješćima i izvještaju o izvršeju proračuna te za Općinu Starigrad ova stavka iznosi 1.118.206,00 EUR, a za dječji vrtić Osmjeh 3.605,00 EUR.</w:t>
      </w:r>
    </w:p>
    <w:p w:rsidR="00CF36EB" w:rsidRDefault="00CF36E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4363E3">
        <w:rPr>
          <w:rFonts w:ascii="Times New Roman" w:hAnsi="Times New Roman" w:cs="Times New Roman"/>
          <w:sz w:val="24"/>
          <w:szCs w:val="24"/>
        </w:rPr>
        <w:t xml:space="preserve">Raspoloživa sredstva viška prihoda </w:t>
      </w:r>
      <w:r>
        <w:rPr>
          <w:rFonts w:ascii="Times New Roman" w:hAnsi="Times New Roman" w:cs="Times New Roman"/>
          <w:sz w:val="24"/>
          <w:szCs w:val="24"/>
        </w:rPr>
        <w:t xml:space="preserve">raspoređuju se ovim izmjenama i dopunama Proračuna sukladno </w:t>
      </w:r>
      <w:r w:rsidRPr="00CF36EB">
        <w:rPr>
          <w:rFonts w:ascii="Times New Roman" w:hAnsi="Times New Roman" w:cs="Times New Roman"/>
          <w:sz w:val="24"/>
          <w:szCs w:val="24"/>
        </w:rPr>
        <w:t>Odlu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CF36EB">
        <w:rPr>
          <w:rFonts w:ascii="Times New Roman" w:hAnsi="Times New Roman" w:cs="Times New Roman"/>
          <w:sz w:val="24"/>
          <w:szCs w:val="24"/>
        </w:rPr>
        <w:t xml:space="preserve"> o raspodjel</w:t>
      </w:r>
      <w:r>
        <w:rPr>
          <w:rFonts w:ascii="Times New Roman" w:hAnsi="Times New Roman" w:cs="Times New Roman"/>
          <w:sz w:val="24"/>
          <w:szCs w:val="24"/>
        </w:rPr>
        <w:t xml:space="preserve">i rezultata i načinu korištenja </w:t>
      </w:r>
      <w:r w:rsidRPr="00CF36EB">
        <w:rPr>
          <w:rFonts w:ascii="Times New Roman" w:hAnsi="Times New Roman" w:cs="Times New Roman"/>
          <w:sz w:val="24"/>
          <w:szCs w:val="24"/>
        </w:rPr>
        <w:t xml:space="preserve">viška prihoda iz 2022.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F36EB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3901">
        <w:rPr>
          <w:rFonts w:ascii="Times New Roman" w:hAnsi="Times New Roman" w:cs="Times New Roman"/>
          <w:sz w:val="24"/>
          <w:szCs w:val="24"/>
        </w:rPr>
        <w:t>Općina Starigrad će cijeli višak koristiti za ujednačavanje proračuna za 2023. godinu, te zbog toga nije potrebno izraditi višegodišnji plan uravnoteženja.</w:t>
      </w:r>
      <w:r w:rsidR="00834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</w:t>
      </w:r>
      <w:r w:rsidR="008345EE">
        <w:rPr>
          <w:rFonts w:ascii="Times New Roman" w:hAnsi="Times New Roman" w:cs="Times New Roman"/>
          <w:sz w:val="24"/>
          <w:szCs w:val="24"/>
        </w:rPr>
        <w:t>ovim I</w:t>
      </w:r>
      <w:r w:rsidR="00CF36EB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 xml:space="preserve">. izmjenama i 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dopunama iznose </w:t>
      </w:r>
      <w:r w:rsidR="0038157B" w:rsidRPr="00A10A0C">
        <w:rPr>
          <w:rFonts w:ascii="Times New Roman" w:hAnsi="Times New Roman" w:cs="Times New Roman"/>
          <w:sz w:val="24"/>
          <w:szCs w:val="24"/>
        </w:rPr>
        <w:t>4.2</w:t>
      </w:r>
      <w:r w:rsidR="00ED620B">
        <w:rPr>
          <w:rFonts w:ascii="Times New Roman" w:hAnsi="Times New Roman" w:cs="Times New Roman"/>
          <w:sz w:val="24"/>
          <w:szCs w:val="24"/>
        </w:rPr>
        <w:t>4</w:t>
      </w:r>
      <w:r w:rsidR="00CF36EB">
        <w:rPr>
          <w:rFonts w:ascii="Times New Roman" w:hAnsi="Times New Roman" w:cs="Times New Roman"/>
          <w:sz w:val="24"/>
          <w:szCs w:val="24"/>
        </w:rPr>
        <w:t>4</w:t>
      </w:r>
      <w:r w:rsidR="0038157B" w:rsidRPr="00A10A0C">
        <w:rPr>
          <w:rFonts w:ascii="Times New Roman" w:hAnsi="Times New Roman" w:cs="Times New Roman"/>
          <w:sz w:val="24"/>
          <w:szCs w:val="24"/>
        </w:rPr>
        <w:t>.6</w:t>
      </w:r>
      <w:r w:rsidR="00CF36EB">
        <w:rPr>
          <w:rFonts w:ascii="Times New Roman" w:hAnsi="Times New Roman" w:cs="Times New Roman"/>
          <w:sz w:val="24"/>
          <w:szCs w:val="24"/>
        </w:rPr>
        <w:t>57</w:t>
      </w:r>
      <w:r w:rsidR="0038157B" w:rsidRPr="00A10A0C">
        <w:rPr>
          <w:rFonts w:ascii="Times New Roman" w:hAnsi="Times New Roman" w:cs="Times New Roman"/>
          <w:sz w:val="24"/>
          <w:szCs w:val="24"/>
        </w:rPr>
        <w:t>,00 EUR</w:t>
      </w:r>
      <w:r w:rsidRPr="00A10A0C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 w:rsidRPr="00A10A0C">
        <w:rPr>
          <w:rFonts w:ascii="Times New Roman" w:hAnsi="Times New Roman" w:cs="Times New Roman"/>
          <w:sz w:val="24"/>
          <w:szCs w:val="24"/>
        </w:rPr>
        <w:t>2.</w:t>
      </w:r>
      <w:r w:rsidR="00CF36EB">
        <w:rPr>
          <w:rFonts w:ascii="Times New Roman" w:hAnsi="Times New Roman" w:cs="Times New Roman"/>
          <w:sz w:val="24"/>
          <w:szCs w:val="24"/>
        </w:rPr>
        <w:t>2</w:t>
      </w:r>
      <w:r w:rsidR="00ED620B">
        <w:rPr>
          <w:rFonts w:ascii="Times New Roman" w:hAnsi="Times New Roman" w:cs="Times New Roman"/>
          <w:sz w:val="24"/>
          <w:szCs w:val="24"/>
        </w:rPr>
        <w:t>3</w:t>
      </w:r>
      <w:r w:rsidR="00CF36EB">
        <w:rPr>
          <w:rFonts w:ascii="Times New Roman" w:hAnsi="Times New Roman" w:cs="Times New Roman"/>
          <w:sz w:val="24"/>
          <w:szCs w:val="24"/>
        </w:rPr>
        <w:t>8.809</w:t>
      </w:r>
      <w:r w:rsidR="0038157B" w:rsidRPr="00A10A0C">
        <w:rPr>
          <w:rFonts w:ascii="Times New Roman" w:hAnsi="Times New Roman" w:cs="Times New Roman"/>
          <w:sz w:val="24"/>
          <w:szCs w:val="24"/>
        </w:rPr>
        <w:t>,00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2.0</w:t>
      </w:r>
      <w:r w:rsidR="00ED620B">
        <w:rPr>
          <w:rFonts w:ascii="Times New Roman" w:hAnsi="Times New Roman" w:cs="Times New Roman"/>
          <w:sz w:val="24"/>
          <w:szCs w:val="24"/>
        </w:rPr>
        <w:t>0</w:t>
      </w:r>
      <w:r w:rsidR="00CF36EB">
        <w:rPr>
          <w:rFonts w:ascii="Times New Roman" w:hAnsi="Times New Roman" w:cs="Times New Roman"/>
          <w:sz w:val="24"/>
          <w:szCs w:val="24"/>
        </w:rPr>
        <w:t>5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="00CF36EB">
        <w:rPr>
          <w:rFonts w:ascii="Times New Roman" w:hAnsi="Times New Roman" w:cs="Times New Roman"/>
          <w:sz w:val="24"/>
          <w:szCs w:val="24"/>
        </w:rPr>
        <w:t>848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</w:p>
    <w:p w:rsidR="00CA3901" w:rsidRDefault="006C4E28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070B32">
        <w:rPr>
          <w:rFonts w:ascii="Times New Roman" w:hAnsi="Times New Roman" w:cs="Times New Roman"/>
          <w:sz w:val="24"/>
          <w:szCs w:val="24"/>
        </w:rPr>
        <w:t>Prilikom planiranja izmjena i dopuna proračuna gledalo se dosadašnje ostvarenje, očekivana ostvarenja do kraja godine, te usklađenje planiranih projekta sa iznosima nakon provedenih postupaka javne nabave</w:t>
      </w:r>
      <w:r>
        <w:rPr>
          <w:rFonts w:ascii="Times New Roman" w:hAnsi="Times New Roman" w:cs="Times New Roman"/>
          <w:sz w:val="24"/>
          <w:szCs w:val="24"/>
        </w:rPr>
        <w:t xml:space="preserve"> i sa općenitim povećanim cijena</w:t>
      </w:r>
      <w:r w:rsidRPr="00070B32">
        <w:rPr>
          <w:rFonts w:ascii="Times New Roman" w:hAnsi="Times New Roman" w:cs="Times New Roman"/>
          <w:sz w:val="24"/>
          <w:szCs w:val="24"/>
        </w:rPr>
        <w:t xml:space="preserve">. U planiranim rashodima proračuna obuhvaćeni su i svi rashodi proračunskog korisnika. Rashodi i izdaci raspoređeni su po programima. </w:t>
      </w:r>
    </w:p>
    <w:p w:rsidR="005C1052" w:rsidRDefault="005C10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ranih </w:t>
      </w:r>
      <w:r w:rsidR="008345EE" w:rsidRPr="00070B32">
        <w:rPr>
          <w:rFonts w:ascii="Times New Roman" w:hAnsi="Times New Roman" w:cs="Times New Roman"/>
          <w:sz w:val="24"/>
          <w:szCs w:val="24"/>
        </w:rPr>
        <w:t>ovim</w:t>
      </w:r>
      <w:r w:rsidR="008345EE">
        <w:rPr>
          <w:rFonts w:ascii="Times New Roman" w:hAnsi="Times New Roman" w:cs="Times New Roman"/>
          <w:sz w:val="24"/>
          <w:szCs w:val="24"/>
        </w:rPr>
        <w:t xml:space="preserve"> I</w:t>
      </w:r>
      <w:r w:rsidR="006C4E28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>.</w:t>
      </w:r>
      <w:r w:rsidR="008345EE" w:rsidRPr="00070B32">
        <w:rPr>
          <w:rFonts w:ascii="Times New Roman" w:hAnsi="Times New Roman" w:cs="Times New Roman"/>
          <w:sz w:val="24"/>
          <w:szCs w:val="24"/>
        </w:rPr>
        <w:t xml:space="preserve"> izmjenama i dopunama proračuna</w:t>
      </w:r>
      <w:r w:rsidR="001C4B3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345EE">
        <w:rPr>
          <w:rFonts w:ascii="Times New Roman" w:hAnsi="Times New Roman" w:cs="Times New Roman"/>
          <w:sz w:val="24"/>
          <w:szCs w:val="24"/>
        </w:rPr>
        <w:t xml:space="preserve">za </w:t>
      </w:r>
      <w:r w:rsidR="001C4B32" w:rsidRPr="005601F5">
        <w:rPr>
          <w:rFonts w:ascii="Times New Roman" w:hAnsi="Times New Roman" w:cs="Times New Roman"/>
          <w:sz w:val="24"/>
          <w:szCs w:val="24"/>
        </w:rPr>
        <w:t>202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</w:t>
      </w:r>
      <w:r w:rsidRPr="00A10A0C">
        <w:rPr>
          <w:rFonts w:ascii="Times New Roman" w:hAnsi="Times New Roman" w:cs="Times New Roman"/>
          <w:sz w:val="24"/>
          <w:szCs w:val="24"/>
        </w:rPr>
        <w:t xml:space="preserve">od </w:t>
      </w:r>
      <w:r w:rsidR="00DC1E11" w:rsidRPr="00A10A0C">
        <w:rPr>
          <w:rFonts w:ascii="Times New Roman" w:hAnsi="Times New Roman" w:cs="Times New Roman"/>
          <w:sz w:val="24"/>
          <w:szCs w:val="24"/>
        </w:rPr>
        <w:t>4.</w:t>
      </w:r>
      <w:r w:rsidR="006C4E28">
        <w:rPr>
          <w:rFonts w:ascii="Times New Roman" w:hAnsi="Times New Roman" w:cs="Times New Roman"/>
          <w:sz w:val="24"/>
          <w:szCs w:val="24"/>
        </w:rPr>
        <w:t>2</w:t>
      </w:r>
      <w:r w:rsidR="00ED620B">
        <w:rPr>
          <w:rFonts w:ascii="Times New Roman" w:hAnsi="Times New Roman" w:cs="Times New Roman"/>
          <w:sz w:val="24"/>
          <w:szCs w:val="24"/>
        </w:rPr>
        <w:t>4</w:t>
      </w:r>
      <w:r w:rsidR="006C4E28">
        <w:rPr>
          <w:rFonts w:ascii="Times New Roman" w:hAnsi="Times New Roman" w:cs="Times New Roman"/>
          <w:sz w:val="24"/>
          <w:szCs w:val="24"/>
        </w:rPr>
        <w:t>4.657,00</w:t>
      </w:r>
      <w:r w:rsidR="00DC1E11" w:rsidRPr="00A10A0C">
        <w:rPr>
          <w:rFonts w:ascii="Times New Roman" w:hAnsi="Times New Roman" w:cs="Times New Roman"/>
          <w:sz w:val="24"/>
          <w:szCs w:val="24"/>
        </w:rPr>
        <w:t xml:space="preserve"> EU</w:t>
      </w:r>
      <w:r w:rsidR="005563FA" w:rsidRPr="00A10A0C">
        <w:rPr>
          <w:rFonts w:ascii="Times New Roman" w:hAnsi="Times New Roman" w:cs="Times New Roman"/>
          <w:sz w:val="24"/>
          <w:szCs w:val="24"/>
        </w:rPr>
        <w:t>R</w:t>
      </w:r>
      <w:r w:rsidRPr="00A10A0C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A10A0C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5563FA" w:rsidRPr="00A10A0C">
        <w:rPr>
          <w:rFonts w:ascii="Times New Roman" w:hAnsi="Times New Roman" w:cs="Times New Roman"/>
          <w:sz w:val="24"/>
          <w:szCs w:val="24"/>
        </w:rPr>
        <w:t>2.</w:t>
      </w:r>
      <w:r w:rsidR="006C4E28">
        <w:rPr>
          <w:rFonts w:ascii="Times New Roman" w:hAnsi="Times New Roman" w:cs="Times New Roman"/>
          <w:sz w:val="24"/>
          <w:szCs w:val="24"/>
        </w:rPr>
        <w:t>2</w:t>
      </w:r>
      <w:r w:rsidR="00ED620B">
        <w:rPr>
          <w:rFonts w:ascii="Times New Roman" w:hAnsi="Times New Roman" w:cs="Times New Roman"/>
          <w:sz w:val="24"/>
          <w:szCs w:val="24"/>
        </w:rPr>
        <w:t>3</w:t>
      </w:r>
      <w:r w:rsidR="006C4E28">
        <w:rPr>
          <w:rFonts w:ascii="Times New Roman" w:hAnsi="Times New Roman" w:cs="Times New Roman"/>
          <w:sz w:val="24"/>
          <w:szCs w:val="24"/>
        </w:rPr>
        <w:t>8.809,00</w:t>
      </w:r>
      <w:r w:rsidR="005563FA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, </w:t>
      </w:r>
      <w:r w:rsidRPr="00A10A0C">
        <w:rPr>
          <w:rFonts w:ascii="Times New Roman" w:hAnsi="Times New Roman" w:cs="Times New Roman"/>
          <w:sz w:val="24"/>
          <w:szCs w:val="24"/>
        </w:rPr>
        <w:t xml:space="preserve">a na rashode za nabavu nefinancijske imovine </w:t>
      </w:r>
      <w:r w:rsidR="005563FA" w:rsidRPr="00A10A0C">
        <w:rPr>
          <w:rFonts w:ascii="Times New Roman" w:hAnsi="Times New Roman" w:cs="Times New Roman"/>
          <w:sz w:val="24"/>
          <w:szCs w:val="24"/>
        </w:rPr>
        <w:t>2.0</w:t>
      </w:r>
      <w:r w:rsidR="00ED620B">
        <w:rPr>
          <w:rFonts w:ascii="Times New Roman" w:hAnsi="Times New Roman" w:cs="Times New Roman"/>
          <w:sz w:val="24"/>
          <w:szCs w:val="24"/>
        </w:rPr>
        <w:t>0</w:t>
      </w:r>
      <w:r w:rsidR="006C4E28">
        <w:rPr>
          <w:rFonts w:ascii="Times New Roman" w:hAnsi="Times New Roman" w:cs="Times New Roman"/>
          <w:sz w:val="24"/>
          <w:szCs w:val="24"/>
        </w:rPr>
        <w:t>5.848,00</w:t>
      </w:r>
      <w:r w:rsidR="005563FA" w:rsidRPr="00A10A0C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066" w:type="dxa"/>
        <w:tblLook w:val="04A0"/>
      </w:tblPr>
      <w:tblGrid>
        <w:gridCol w:w="2837"/>
        <w:gridCol w:w="2253"/>
        <w:gridCol w:w="2488"/>
        <w:gridCol w:w="2488"/>
      </w:tblGrid>
      <w:tr w:rsidR="006C4E28" w:rsidRPr="005601F5" w:rsidTr="006C4E28">
        <w:tc>
          <w:tcPr>
            <w:tcW w:w="2837" w:type="dxa"/>
            <w:shd w:val="clear" w:color="auto" w:fill="E2EFD9" w:themeFill="accent6" w:themeFillTint="33"/>
          </w:tcPr>
          <w:p w:rsidR="006C4E28" w:rsidRPr="005601F5" w:rsidRDefault="006C4E2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253" w:type="dxa"/>
            <w:shd w:val="clear" w:color="auto" w:fill="E2EFD9" w:themeFill="accent6" w:themeFillTint="33"/>
          </w:tcPr>
          <w:p w:rsidR="006C4E28" w:rsidRPr="005601F5" w:rsidRDefault="006C4E28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6C4E28" w:rsidRPr="005601F5" w:rsidRDefault="006C4E28" w:rsidP="00ED6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2023.</w:t>
            </w:r>
          </w:p>
        </w:tc>
        <w:tc>
          <w:tcPr>
            <w:tcW w:w="2488" w:type="dxa"/>
            <w:shd w:val="clear" w:color="auto" w:fill="E2EFD9" w:themeFill="accent6" w:themeFillTint="33"/>
          </w:tcPr>
          <w:p w:rsidR="006C4E28" w:rsidRPr="005601F5" w:rsidRDefault="006C4E28" w:rsidP="00792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2023.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DEEAF6" w:themeFill="accent1" w:themeFillTint="33"/>
          </w:tcPr>
          <w:p w:rsidR="006C4E28" w:rsidRPr="005601F5" w:rsidRDefault="006C4E2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2.110.500,00 EUR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2.125.500,00 EUR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8.809</w:t>
            </w: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 Rashodi za zaposlene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354.431,00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354.431,00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357.751,00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 Materijalni rashodi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1.285.564,00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1.300.564,00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.584</w:t>
            </w: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 Financijski rashodi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24.421,00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24.421,00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6C4E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24.390,00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 Pomoći dane u inozemstvo i unutar općeg proračuna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23.227,00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23.227,00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23.227,00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 Naknade građanima i kućanstvima na temelju osiguranja i druge naknade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89.589,00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89.589,00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89.589,00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 Ostali rashodi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333.268,00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333.268,00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601F5" w:rsidRDefault="006C4E28" w:rsidP="006C4E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335.268,00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DEEAF6" w:themeFill="accent1" w:themeFillTint="33"/>
          </w:tcPr>
          <w:p w:rsidR="006C4E28" w:rsidRPr="005601F5" w:rsidRDefault="006C4E28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2.092.178,00 EUR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2.092.178,00 EUR</w:t>
            </w:r>
          </w:p>
        </w:tc>
        <w:tc>
          <w:tcPr>
            <w:tcW w:w="2488" w:type="dxa"/>
            <w:shd w:val="clear" w:color="auto" w:fill="DEEAF6" w:themeFill="accent1" w:themeFillTint="33"/>
          </w:tcPr>
          <w:p w:rsidR="006C4E28" w:rsidRPr="005601F5" w:rsidRDefault="006C4E28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5.848,00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neprozivedene dugotrajne imovine 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151.302,00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151.302,00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.302,00 EUR</w:t>
            </w:r>
          </w:p>
        </w:tc>
      </w:tr>
      <w:tr w:rsidR="006C4E28" w:rsidRPr="005601F5" w:rsidTr="006C4E28">
        <w:tc>
          <w:tcPr>
            <w:tcW w:w="2837" w:type="dxa"/>
            <w:shd w:val="clear" w:color="auto" w:fill="FFF2CC" w:themeFill="accent4" w:themeFillTint="33"/>
          </w:tcPr>
          <w:p w:rsidR="006C4E28" w:rsidRPr="005601F5" w:rsidRDefault="006C4E28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42 Rashodi za nabavu proizvedene dugotrajne imovine 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1.940.876,00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1.940.876,00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Default="006C4E28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Default="006C4E28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E28" w:rsidRPr="005601F5" w:rsidRDefault="006C4E28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.546,00 EUR</w:t>
            </w:r>
          </w:p>
        </w:tc>
      </w:tr>
      <w:tr w:rsidR="006C4E28" w:rsidRPr="005C1052" w:rsidTr="006C4E28">
        <w:tc>
          <w:tcPr>
            <w:tcW w:w="2837" w:type="dxa"/>
            <w:shd w:val="clear" w:color="auto" w:fill="FFF2CC" w:themeFill="accent4" w:themeFillTint="33"/>
          </w:tcPr>
          <w:p w:rsidR="006C4E28" w:rsidRPr="005C1052" w:rsidRDefault="006C4E28" w:rsidP="00684E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2253" w:type="dxa"/>
            <w:shd w:val="clear" w:color="auto" w:fill="FFF2CC" w:themeFill="accent4" w:themeFillTint="33"/>
          </w:tcPr>
          <w:p w:rsidR="006C4E28" w:rsidRPr="005C1052" w:rsidRDefault="006C4E28" w:rsidP="004916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4.202.678,00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C1052" w:rsidRDefault="006C4E28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4.217.678,00 EUR</w:t>
            </w:r>
          </w:p>
        </w:tc>
        <w:tc>
          <w:tcPr>
            <w:tcW w:w="2488" w:type="dxa"/>
            <w:shd w:val="clear" w:color="auto" w:fill="FFF2CC" w:themeFill="accent4" w:themeFillTint="33"/>
          </w:tcPr>
          <w:p w:rsidR="006C4E28" w:rsidRPr="005C1052" w:rsidRDefault="006C4E28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ED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1052">
              <w:rPr>
                <w:rFonts w:ascii="Times New Roman" w:hAnsi="Times New Roman" w:cs="Times New Roman"/>
                <w:b/>
                <w:sz w:val="24"/>
                <w:szCs w:val="24"/>
              </w:rPr>
              <w:t>4.657,00 EUR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2.1</w:t>
      </w:r>
      <w:r w:rsidR="005C1052">
        <w:rPr>
          <w:rFonts w:ascii="Times New Roman" w:hAnsi="Times New Roman" w:cs="Times New Roman"/>
          <w:sz w:val="24"/>
          <w:szCs w:val="24"/>
        </w:rPr>
        <w:t>25</w:t>
      </w:r>
      <w:r w:rsidR="005563FA">
        <w:rPr>
          <w:rFonts w:ascii="Times New Roman" w:hAnsi="Times New Roman" w:cs="Times New Roman"/>
          <w:sz w:val="24"/>
          <w:szCs w:val="24"/>
        </w:rPr>
        <w:t>.500,00 EUR</w:t>
      </w:r>
      <w:r w:rsidR="008345EE">
        <w:rPr>
          <w:rFonts w:ascii="Times New Roman" w:hAnsi="Times New Roman" w:cs="Times New Roman"/>
          <w:sz w:val="24"/>
          <w:szCs w:val="24"/>
        </w:rPr>
        <w:t xml:space="preserve">. Ovim </w:t>
      </w:r>
      <w:r w:rsidR="005C1052">
        <w:rPr>
          <w:rFonts w:ascii="Times New Roman" w:hAnsi="Times New Roman" w:cs="Times New Roman"/>
          <w:sz w:val="24"/>
          <w:szCs w:val="24"/>
        </w:rPr>
        <w:t>I</w:t>
      </w:r>
      <w:r w:rsidR="008345EE">
        <w:rPr>
          <w:rFonts w:ascii="Times New Roman" w:hAnsi="Times New Roman" w:cs="Times New Roman"/>
          <w:sz w:val="24"/>
          <w:szCs w:val="24"/>
        </w:rPr>
        <w:t xml:space="preserve">I.  izmjenama i dopunama proračuna povećavaju se za </w:t>
      </w:r>
      <w:r w:rsidR="00ED620B">
        <w:rPr>
          <w:rFonts w:ascii="Times New Roman" w:hAnsi="Times New Roman" w:cs="Times New Roman"/>
          <w:sz w:val="24"/>
          <w:szCs w:val="24"/>
        </w:rPr>
        <w:t>113</w:t>
      </w:r>
      <w:r w:rsidR="005C1052">
        <w:rPr>
          <w:rFonts w:ascii="Times New Roman" w:hAnsi="Times New Roman" w:cs="Times New Roman"/>
          <w:sz w:val="24"/>
          <w:szCs w:val="24"/>
        </w:rPr>
        <w:t>.309,00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 odnosno za </w:t>
      </w:r>
      <w:r w:rsidR="00ED620B">
        <w:rPr>
          <w:rFonts w:ascii="Times New Roman" w:hAnsi="Times New Roman" w:cs="Times New Roman"/>
          <w:sz w:val="24"/>
          <w:szCs w:val="24"/>
        </w:rPr>
        <w:t>5,3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% i sada iznose </w:t>
      </w:r>
      <w:r w:rsidR="00CF39CA" w:rsidRPr="00A10A0C">
        <w:rPr>
          <w:rFonts w:ascii="Times New Roman" w:hAnsi="Times New Roman" w:cs="Times New Roman"/>
          <w:sz w:val="24"/>
          <w:szCs w:val="24"/>
        </w:rPr>
        <w:t>2.</w:t>
      </w:r>
      <w:r w:rsidR="005C1052">
        <w:rPr>
          <w:rFonts w:ascii="Times New Roman" w:hAnsi="Times New Roman" w:cs="Times New Roman"/>
          <w:sz w:val="24"/>
          <w:szCs w:val="24"/>
        </w:rPr>
        <w:t>2</w:t>
      </w:r>
      <w:r w:rsidR="00ED620B">
        <w:rPr>
          <w:rFonts w:ascii="Times New Roman" w:hAnsi="Times New Roman" w:cs="Times New Roman"/>
          <w:sz w:val="24"/>
          <w:szCs w:val="24"/>
        </w:rPr>
        <w:t>3</w:t>
      </w:r>
      <w:r w:rsidR="005C1052">
        <w:rPr>
          <w:rFonts w:ascii="Times New Roman" w:hAnsi="Times New Roman" w:cs="Times New Roman"/>
          <w:sz w:val="24"/>
          <w:szCs w:val="24"/>
        </w:rPr>
        <w:t>8.809</w:t>
      </w:r>
      <w:r w:rsidR="00CF39CA" w:rsidRPr="00A10A0C">
        <w:rPr>
          <w:rFonts w:ascii="Times New Roman" w:hAnsi="Times New Roman" w:cs="Times New Roman"/>
          <w:sz w:val="24"/>
          <w:szCs w:val="24"/>
        </w:rPr>
        <w:t>,00</w:t>
      </w:r>
      <w:r w:rsidR="008345EE" w:rsidRPr="00A10A0C">
        <w:rPr>
          <w:rFonts w:ascii="Times New Roman" w:hAnsi="Times New Roman" w:cs="Times New Roman"/>
          <w:sz w:val="24"/>
          <w:szCs w:val="24"/>
        </w:rPr>
        <w:t xml:space="preserve">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1052" w:rsidRPr="005C1052" w:rsidRDefault="00404F71" w:rsidP="005C105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 xml:space="preserve">354.431,00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="005C1052">
        <w:rPr>
          <w:rFonts w:ascii="Times New Roman" w:hAnsi="Times New Roman" w:cs="Times New Roman"/>
          <w:bCs/>
          <w:sz w:val="24"/>
          <w:szCs w:val="24"/>
        </w:rPr>
        <w:t>. Navedeni rashodi se povećavaju za 3.320,00 EUR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i sad iznose 357.751,00 EUR</w:t>
      </w:r>
      <w:r w:rsidR="005C1052">
        <w:rPr>
          <w:rFonts w:ascii="Times New Roman" w:hAnsi="Times New Roman" w:cs="Times New Roman"/>
          <w:bCs/>
          <w:sz w:val="24"/>
          <w:szCs w:val="24"/>
        </w:rPr>
        <w:t xml:space="preserve"> zbog povećanja stavke ostalih </w:t>
      </w:r>
      <w:r w:rsidR="005C1052">
        <w:rPr>
          <w:rFonts w:ascii="Times New Roman" w:hAnsi="Times New Roman" w:cs="Times New Roman"/>
          <w:bCs/>
          <w:sz w:val="24"/>
          <w:szCs w:val="24"/>
        </w:rPr>
        <w:lastRenderedPageBreak/>
        <w:t>rashoda za zaposlene kod Dječjeg vrtića Osmjeh, dok kod Općine Starigrad ne dolazi do promjena.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su povećani i sada iznose 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1.</w:t>
      </w:r>
      <w:r w:rsidR="00ED620B">
        <w:rPr>
          <w:rFonts w:ascii="Times New Roman" w:hAnsi="Times New Roman" w:cs="Times New Roman"/>
          <w:bCs/>
          <w:sz w:val="24"/>
          <w:szCs w:val="24"/>
        </w:rPr>
        <w:t>408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.5</w:t>
      </w:r>
      <w:r w:rsidR="00127341">
        <w:rPr>
          <w:rFonts w:ascii="Times New Roman" w:hAnsi="Times New Roman" w:cs="Times New Roman"/>
          <w:bCs/>
          <w:sz w:val="24"/>
          <w:szCs w:val="24"/>
        </w:rPr>
        <w:t>84</w:t>
      </w:r>
      <w:r w:rsidR="005563FA" w:rsidRPr="00A10A0C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>, a to su: naknade troškova zaposlenima (stručni usavršavanje i službena putovanja), rashodi za materijal i energiju (električna energija, uredski materijal, materijal i sirovine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 Do povećanja 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kod Općine Starigrad </w:t>
      </w:r>
      <w:r w:rsidR="008345EE">
        <w:rPr>
          <w:rFonts w:ascii="Times New Roman" w:hAnsi="Times New Roman" w:cs="Times New Roman"/>
          <w:bCs/>
          <w:sz w:val="24"/>
          <w:szCs w:val="24"/>
        </w:rPr>
        <w:t>dolazi</w:t>
      </w:r>
      <w:r w:rsidR="004E572D">
        <w:rPr>
          <w:rFonts w:ascii="Times New Roman" w:hAnsi="Times New Roman" w:cs="Times New Roman"/>
          <w:bCs/>
          <w:sz w:val="24"/>
          <w:szCs w:val="24"/>
        </w:rPr>
        <w:t xml:space="preserve"> zbog</w:t>
      </w:r>
      <w:r w:rsidR="008345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341">
        <w:rPr>
          <w:rFonts w:ascii="Times New Roman" w:hAnsi="Times New Roman" w:cs="Times New Roman"/>
          <w:sz w:val="24"/>
          <w:szCs w:val="24"/>
        </w:rPr>
        <w:t>povećanja stavke sitni inventar i autogume s obzirom da će biti potrebne nove autogume radi kupnje automobila,  povećanja rashoda za usluge radi usklađenja pojedinih stavki usluga, dodavanje i usklađivanje stavki usluga stručnog nadzora nad radovima kod planiranih projekata, te povećanja stavki tekućeg i investicijskog održavanja. Kod dječjeg  vrtića Osmjeh povećavaju se materijalni rashodi radi cijene namirnica, nabavke didaktike za potrebe jaslične skupine, te tekućeg i investicijskog održavanja zgrade.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24.</w:t>
      </w:r>
      <w:r w:rsidR="00127341">
        <w:rPr>
          <w:rFonts w:ascii="Times New Roman" w:hAnsi="Times New Roman" w:cs="Times New Roman"/>
          <w:bCs/>
          <w:sz w:val="24"/>
          <w:szCs w:val="24"/>
        </w:rPr>
        <w:t>390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</w:t>
      </w:r>
      <w:r w:rsidR="004E572D">
        <w:rPr>
          <w:rFonts w:ascii="Times New Roman" w:hAnsi="Times New Roman" w:cs="Times New Roman"/>
          <w:bCs/>
          <w:sz w:val="24"/>
          <w:szCs w:val="24"/>
        </w:rPr>
        <w:t>lova vezanih uz općinske poreze</w:t>
      </w:r>
      <w:r w:rsidR="00127341">
        <w:rPr>
          <w:rFonts w:ascii="Times New Roman" w:hAnsi="Times New Roman" w:cs="Times New Roman"/>
          <w:bCs/>
          <w:sz w:val="24"/>
          <w:szCs w:val="24"/>
        </w:rPr>
        <w:t>.</w:t>
      </w:r>
      <w:r w:rsidR="00127341" w:rsidRPr="001273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Navedeni rashodi </w:t>
      </w:r>
      <w:r w:rsidR="00C97503">
        <w:rPr>
          <w:rFonts w:ascii="Times New Roman" w:hAnsi="Times New Roman" w:cs="Times New Roman"/>
          <w:bCs/>
          <w:sz w:val="24"/>
          <w:szCs w:val="24"/>
        </w:rPr>
        <w:t>su smanjeni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za 31,00 EUR zbog </w:t>
      </w:r>
      <w:r w:rsidR="00C97503">
        <w:rPr>
          <w:rFonts w:ascii="Times New Roman" w:hAnsi="Times New Roman" w:cs="Times New Roman"/>
          <w:bCs/>
          <w:sz w:val="24"/>
          <w:szCs w:val="24"/>
        </w:rPr>
        <w:t>smanjenja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stavke </w:t>
      </w:r>
      <w:r w:rsidR="00C97503">
        <w:rPr>
          <w:rFonts w:ascii="Times New Roman" w:hAnsi="Times New Roman" w:cs="Times New Roman"/>
          <w:bCs/>
          <w:sz w:val="24"/>
          <w:szCs w:val="24"/>
        </w:rPr>
        <w:t>bankarskih usluga</w:t>
      </w:r>
      <w:r w:rsidR="00127341">
        <w:rPr>
          <w:rFonts w:ascii="Times New Roman" w:hAnsi="Times New Roman" w:cs="Times New Roman"/>
          <w:bCs/>
          <w:sz w:val="24"/>
          <w:szCs w:val="24"/>
        </w:rPr>
        <w:t xml:space="preserve"> kod Dječjeg vrtića Osmjeh, dok kod Općine Starigrad ne dolazi do promjena.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23.227,00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4E572D">
        <w:rPr>
          <w:rFonts w:ascii="Times New Roman" w:hAnsi="Times New Roman" w:cs="Times New Roman"/>
          <w:bCs/>
          <w:sz w:val="24"/>
          <w:szCs w:val="24"/>
        </w:rPr>
        <w:t>nje izgradnje skloništa za pse) i tu ne dolazi do promjena.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89.589,00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sufinanciranje, naknade roditeljima novorođene djece te ostale naknade i pomoći stanovništvu), stipendije studentima, sufinanciranje prijevoza učenika srednjih škola te sufinanciranje nabave radnog materijala učenicima osnovne škole</w:t>
      </w:r>
      <w:r w:rsidR="004E572D">
        <w:rPr>
          <w:rFonts w:ascii="Times New Roman" w:hAnsi="Times New Roman" w:cs="Times New Roman"/>
          <w:bCs/>
          <w:sz w:val="24"/>
          <w:szCs w:val="24"/>
        </w:rPr>
        <w:t xml:space="preserve"> i tu ne dolazi do promjena.</w:t>
      </w:r>
    </w:p>
    <w:p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5563FA">
        <w:rPr>
          <w:rFonts w:ascii="Times New Roman" w:hAnsi="Times New Roman" w:cs="Times New Roman"/>
          <w:bCs/>
          <w:sz w:val="24"/>
          <w:szCs w:val="24"/>
        </w:rPr>
        <w:t>33</w:t>
      </w:r>
      <w:r w:rsidR="00C97503">
        <w:rPr>
          <w:rFonts w:ascii="Times New Roman" w:hAnsi="Times New Roman" w:cs="Times New Roman"/>
          <w:bCs/>
          <w:sz w:val="24"/>
          <w:szCs w:val="24"/>
        </w:rPr>
        <w:t>5</w:t>
      </w:r>
      <w:r w:rsidR="005563FA">
        <w:rPr>
          <w:rFonts w:ascii="Times New Roman" w:hAnsi="Times New Roman" w:cs="Times New Roman"/>
          <w:bCs/>
          <w:sz w:val="24"/>
          <w:szCs w:val="24"/>
        </w:rPr>
        <w:t>.268,00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4E572D">
        <w:rPr>
          <w:rFonts w:ascii="Times New Roman" w:hAnsi="Times New Roman" w:cs="Times New Roman"/>
          <w:bCs/>
          <w:sz w:val="24"/>
          <w:szCs w:val="24"/>
        </w:rPr>
        <w:t>)</w:t>
      </w:r>
      <w:r w:rsidR="00C97503">
        <w:rPr>
          <w:rFonts w:ascii="Times New Roman" w:hAnsi="Times New Roman" w:cs="Times New Roman"/>
          <w:bCs/>
          <w:sz w:val="24"/>
          <w:szCs w:val="24"/>
        </w:rPr>
        <w:t>. Navedeni rashodi su povećani za 2.000,00 EUR radi povećanja stavke za Crveni križ sukladno iznosu koji treba predviđen za osiguranje sredstava za rad sukladno Zakonu o Hrvatskom crvenom križu.</w:t>
      </w:r>
    </w:p>
    <w:p w:rsid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7503" w:rsidRPr="005563FA" w:rsidRDefault="00C97503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2.092.178,00 EUR</w:t>
      </w:r>
      <w:r w:rsidR="00C97503">
        <w:rPr>
          <w:rFonts w:ascii="Times New Roman" w:hAnsi="Times New Roman" w:cs="Times New Roman"/>
          <w:sz w:val="24"/>
          <w:szCs w:val="24"/>
        </w:rPr>
        <w:t>.</w:t>
      </w:r>
      <w:r w:rsidR="00C97503" w:rsidRPr="00C97503">
        <w:rPr>
          <w:rFonts w:ascii="Times New Roman" w:hAnsi="Times New Roman" w:cs="Times New Roman"/>
          <w:sz w:val="24"/>
          <w:szCs w:val="24"/>
        </w:rPr>
        <w:t xml:space="preserve"> </w:t>
      </w:r>
      <w:r w:rsidR="00C97503">
        <w:rPr>
          <w:rFonts w:ascii="Times New Roman" w:hAnsi="Times New Roman" w:cs="Times New Roman"/>
          <w:sz w:val="24"/>
          <w:szCs w:val="24"/>
        </w:rPr>
        <w:t xml:space="preserve">Ovim II.  izmjenama i dopunama proračuna smanjuju se za </w:t>
      </w:r>
      <w:r w:rsidR="00ED620B">
        <w:rPr>
          <w:rFonts w:ascii="Times New Roman" w:hAnsi="Times New Roman" w:cs="Times New Roman"/>
          <w:sz w:val="24"/>
          <w:szCs w:val="24"/>
        </w:rPr>
        <w:t>86</w:t>
      </w:r>
      <w:r w:rsidR="00C97503">
        <w:rPr>
          <w:rFonts w:ascii="Times New Roman" w:hAnsi="Times New Roman" w:cs="Times New Roman"/>
          <w:sz w:val="24"/>
          <w:szCs w:val="24"/>
        </w:rPr>
        <w:t>.330,00</w:t>
      </w:r>
      <w:r w:rsidR="00C97503" w:rsidRPr="00A10A0C">
        <w:rPr>
          <w:rFonts w:ascii="Times New Roman" w:hAnsi="Times New Roman" w:cs="Times New Roman"/>
          <w:sz w:val="24"/>
          <w:szCs w:val="24"/>
        </w:rPr>
        <w:t xml:space="preserve"> EUR odnosno za </w:t>
      </w:r>
      <w:r w:rsidR="00ED620B">
        <w:rPr>
          <w:rFonts w:ascii="Times New Roman" w:hAnsi="Times New Roman" w:cs="Times New Roman"/>
          <w:sz w:val="24"/>
          <w:szCs w:val="24"/>
        </w:rPr>
        <w:t>4,1</w:t>
      </w:r>
      <w:r w:rsidR="00C97503" w:rsidRPr="00A10A0C">
        <w:rPr>
          <w:rFonts w:ascii="Times New Roman" w:hAnsi="Times New Roman" w:cs="Times New Roman"/>
          <w:sz w:val="24"/>
          <w:szCs w:val="24"/>
        </w:rPr>
        <w:t xml:space="preserve"> % i sada iznose 2.</w:t>
      </w:r>
      <w:r w:rsidR="00C97503">
        <w:rPr>
          <w:rFonts w:ascii="Times New Roman" w:hAnsi="Times New Roman" w:cs="Times New Roman"/>
          <w:sz w:val="24"/>
          <w:szCs w:val="24"/>
        </w:rPr>
        <w:t>0</w:t>
      </w:r>
      <w:r w:rsidR="00ED620B">
        <w:rPr>
          <w:rFonts w:ascii="Times New Roman" w:hAnsi="Times New Roman" w:cs="Times New Roman"/>
          <w:sz w:val="24"/>
          <w:szCs w:val="24"/>
        </w:rPr>
        <w:t>0</w:t>
      </w:r>
      <w:r w:rsidR="00C97503">
        <w:rPr>
          <w:rFonts w:ascii="Times New Roman" w:hAnsi="Times New Roman" w:cs="Times New Roman"/>
          <w:sz w:val="24"/>
          <w:szCs w:val="24"/>
        </w:rPr>
        <w:t>5.848</w:t>
      </w:r>
      <w:r w:rsidR="00C97503" w:rsidRPr="00A10A0C">
        <w:rPr>
          <w:rFonts w:ascii="Times New Roman" w:hAnsi="Times New Roman" w:cs="Times New Roman"/>
          <w:sz w:val="24"/>
          <w:szCs w:val="24"/>
        </w:rPr>
        <w:t>,00 EUR</w:t>
      </w:r>
      <w:r w:rsidR="00C97503" w:rsidRPr="005601F5">
        <w:rPr>
          <w:rFonts w:ascii="Times New Roman" w:hAnsi="Times New Roman" w:cs="Times New Roman"/>
          <w:sz w:val="24"/>
          <w:szCs w:val="24"/>
        </w:rPr>
        <w:t xml:space="preserve"> i odnose se na: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</w:t>
      </w:r>
      <w:r w:rsidR="00ED620B">
        <w:rPr>
          <w:rFonts w:ascii="Times New Roman" w:hAnsi="Times New Roman" w:cs="Times New Roman"/>
          <w:sz w:val="24"/>
          <w:szCs w:val="24"/>
        </w:rPr>
        <w:t>81</w:t>
      </w:r>
      <w:r w:rsidR="005563FA">
        <w:rPr>
          <w:rFonts w:ascii="Times New Roman" w:hAnsi="Times New Roman" w:cs="Times New Roman"/>
          <w:sz w:val="24"/>
          <w:szCs w:val="24"/>
        </w:rPr>
        <w:t>.302,00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C97503">
        <w:rPr>
          <w:rFonts w:ascii="Times New Roman" w:hAnsi="Times New Roman" w:cs="Times New Roman"/>
          <w:sz w:val="24"/>
          <w:szCs w:val="24"/>
        </w:rPr>
        <w:t xml:space="preserve"> te se povećava stavka za projektne dokumentacije za vodovodnu mrežu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8E4D4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563FA">
        <w:rPr>
          <w:rFonts w:ascii="Times New Roman" w:hAnsi="Times New Roman" w:cs="Times New Roman"/>
          <w:sz w:val="24"/>
          <w:szCs w:val="24"/>
        </w:rPr>
        <w:t>1.</w:t>
      </w:r>
      <w:r w:rsidR="00ED620B">
        <w:rPr>
          <w:rFonts w:ascii="Times New Roman" w:hAnsi="Times New Roman" w:cs="Times New Roman"/>
          <w:sz w:val="24"/>
          <w:szCs w:val="24"/>
        </w:rPr>
        <w:t>824.546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C97503">
        <w:rPr>
          <w:rFonts w:ascii="Times New Roman" w:hAnsi="Times New Roman" w:cs="Times New Roman"/>
          <w:sz w:val="24"/>
          <w:szCs w:val="24"/>
        </w:rPr>
        <w:t xml:space="preserve"> te se usklađuju iznosi vezano za</w:t>
      </w:r>
      <w:r w:rsidR="00C97503" w:rsidRPr="00C97503">
        <w:t xml:space="preserve"> </w:t>
      </w:r>
      <w:r w:rsidR="00C97503" w:rsidRPr="00C97503">
        <w:rPr>
          <w:rFonts w:ascii="Times New Roman" w:hAnsi="Times New Roman" w:cs="Times New Roman"/>
          <w:sz w:val="24"/>
          <w:szCs w:val="24"/>
        </w:rPr>
        <w:t xml:space="preserve">povećanja rashoda za računalnu opremu i programe radi nadogradnje programa sukladno zakonskim izmjenama vezanim za uredsko </w:t>
      </w:r>
      <w:r w:rsidR="00C97503" w:rsidRPr="00C97503">
        <w:rPr>
          <w:rFonts w:ascii="Times New Roman" w:hAnsi="Times New Roman" w:cs="Times New Roman"/>
          <w:sz w:val="24"/>
          <w:szCs w:val="24"/>
        </w:rPr>
        <w:lastRenderedPageBreak/>
        <w:t>poslovanje,</w:t>
      </w:r>
      <w:r w:rsidR="00C97503">
        <w:rPr>
          <w:rFonts w:ascii="Times New Roman" w:hAnsi="Times New Roman" w:cs="Times New Roman"/>
          <w:sz w:val="24"/>
          <w:szCs w:val="24"/>
        </w:rPr>
        <w:t xml:space="preserve"> smanjenje iznosa za kupnju osobnog autmobila sukladno postignutoj cijeni, te usklađenje iznosa po projektima sukladno postignutim cijenama u postupcima javne nabave i povećanju cijena radova te dinamikom izvođenja radova do kraja godine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874790" w:rsidRDefault="00874790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  <w:r w:rsidR="004E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D6189A" w:rsidRPr="00A10A0C">
        <w:rPr>
          <w:rFonts w:ascii="Times New Roman" w:hAnsi="Times New Roman" w:cs="Times New Roman"/>
          <w:sz w:val="24"/>
          <w:szCs w:val="24"/>
        </w:rPr>
        <w:t>1.7</w:t>
      </w:r>
      <w:r w:rsidR="00D62302">
        <w:rPr>
          <w:rFonts w:ascii="Times New Roman" w:hAnsi="Times New Roman" w:cs="Times New Roman"/>
          <w:sz w:val="24"/>
          <w:szCs w:val="24"/>
        </w:rPr>
        <w:t>71</w:t>
      </w:r>
      <w:r w:rsidR="00D6189A" w:rsidRPr="00A10A0C">
        <w:rPr>
          <w:rFonts w:ascii="Times New Roman" w:hAnsi="Times New Roman" w:cs="Times New Roman"/>
          <w:sz w:val="24"/>
          <w:szCs w:val="24"/>
        </w:rPr>
        <w:t>.448,00 EUR.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D62302">
        <w:rPr>
          <w:rFonts w:ascii="Times New Roman" w:hAnsi="Times New Roman" w:cs="Times New Roman"/>
          <w:sz w:val="24"/>
          <w:szCs w:val="24"/>
        </w:rPr>
        <w:t>745.907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D6189A">
        <w:rPr>
          <w:rFonts w:ascii="Times New Roman" w:hAnsi="Times New Roman" w:cs="Times New Roman"/>
          <w:sz w:val="24"/>
          <w:szCs w:val="24"/>
        </w:rPr>
        <w:t>498.375,00 EUR.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>Sukladno Zakonu o proračunu, sredstva od prodaje i zamjene nefinancijske 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D6189A">
        <w:rPr>
          <w:rFonts w:ascii="Times New Roman" w:hAnsi="Times New Roman" w:cs="Times New Roman"/>
          <w:sz w:val="24"/>
          <w:szCs w:val="24"/>
        </w:rPr>
        <w:t>119.450,00 EUR.</w:t>
      </w:r>
    </w:p>
    <w:p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1.1</w:t>
      </w:r>
      <w:r w:rsidR="00D62302">
        <w:rPr>
          <w:rFonts w:ascii="Times New Roman" w:hAnsi="Times New Roman" w:cs="Times New Roman"/>
          <w:sz w:val="24"/>
          <w:szCs w:val="24"/>
        </w:rPr>
        <w:t>18</w:t>
      </w:r>
      <w:r w:rsidR="00D6189A">
        <w:rPr>
          <w:rFonts w:ascii="Times New Roman" w:hAnsi="Times New Roman" w:cs="Times New Roman"/>
          <w:sz w:val="24"/>
          <w:szCs w:val="24"/>
        </w:rPr>
        <w:t>.</w:t>
      </w:r>
      <w:r w:rsidR="00D62302">
        <w:rPr>
          <w:rFonts w:ascii="Times New Roman" w:hAnsi="Times New Roman" w:cs="Times New Roman"/>
          <w:sz w:val="24"/>
          <w:szCs w:val="24"/>
        </w:rPr>
        <w:t>206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D62302">
        <w:rPr>
          <w:rFonts w:ascii="Times New Roman" w:hAnsi="Times New Roman" w:cs="Times New Roman"/>
          <w:sz w:val="24"/>
          <w:szCs w:val="24"/>
        </w:rPr>
        <w:t>.</w:t>
      </w:r>
    </w:p>
    <w:p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D6189A">
        <w:rPr>
          <w:rFonts w:ascii="Times New Roman" w:hAnsi="Times New Roman" w:cs="Times New Roman"/>
          <w:sz w:val="24"/>
          <w:szCs w:val="24"/>
        </w:rPr>
        <w:t>31.</w:t>
      </w:r>
      <w:r w:rsidR="00D62302">
        <w:rPr>
          <w:rFonts w:ascii="Times New Roman" w:hAnsi="Times New Roman" w:cs="Times New Roman"/>
          <w:sz w:val="24"/>
          <w:szCs w:val="24"/>
        </w:rPr>
        <w:t>271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tbl>
      <w:tblPr>
        <w:tblStyle w:val="TableGrid"/>
        <w:tblW w:w="10119" w:type="dxa"/>
        <w:tblLook w:val="04A0"/>
      </w:tblPr>
      <w:tblGrid>
        <w:gridCol w:w="3085"/>
        <w:gridCol w:w="2162"/>
        <w:gridCol w:w="2436"/>
        <w:gridCol w:w="2436"/>
      </w:tblGrid>
      <w:tr w:rsidR="00D62302" w:rsidRPr="005601F5" w:rsidTr="00D62302">
        <w:tc>
          <w:tcPr>
            <w:tcW w:w="3085" w:type="dxa"/>
            <w:shd w:val="clear" w:color="auto" w:fill="E2EFD9" w:themeFill="accent6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D62302" w:rsidRPr="005601F5" w:rsidRDefault="00D62302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shd w:val="clear" w:color="auto" w:fill="E2EFD9" w:themeFill="accent6" w:themeFillTint="33"/>
          </w:tcPr>
          <w:p w:rsidR="00D62302" w:rsidRPr="005601F5" w:rsidRDefault="00D62302" w:rsidP="00ED6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2023.</w:t>
            </w:r>
          </w:p>
        </w:tc>
        <w:tc>
          <w:tcPr>
            <w:tcW w:w="2436" w:type="dxa"/>
            <w:shd w:val="clear" w:color="auto" w:fill="E2EFD9" w:themeFill="accent6" w:themeFillTint="33"/>
          </w:tcPr>
          <w:p w:rsidR="00D62302" w:rsidRPr="005601F5" w:rsidRDefault="00D62302" w:rsidP="00CD7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2023.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D9E2F3" w:themeFill="accent5" w:themeFillTint="33"/>
          </w:tcPr>
          <w:p w:rsidR="00D62302" w:rsidRPr="005601F5" w:rsidRDefault="00D62302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62" w:type="dxa"/>
            <w:shd w:val="clear" w:color="auto" w:fill="D9E2F3" w:themeFill="accent5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1.716.448,00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4E572D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1.731.448,00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4E572D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1.448,00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1.373.687,00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4E572D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1.388.687,00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4E572D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A0C">
              <w:rPr>
                <w:rFonts w:ascii="Times New Roman" w:hAnsi="Times New Roman" w:cs="Times New Roman"/>
                <w:sz w:val="24"/>
                <w:szCs w:val="24"/>
              </w:rPr>
              <w:t>.687,00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189.864,00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189.864,00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189.864,00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 Prihodi od kazni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 Prihodi od administrativnih (upravnih) pristojbi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 Ostali opći prihodi i primici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145.996,00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D9E2F3" w:themeFill="accent5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 Pomoći i donacije</w:t>
            </w:r>
          </w:p>
        </w:tc>
        <w:tc>
          <w:tcPr>
            <w:tcW w:w="2162" w:type="dxa"/>
            <w:shd w:val="clear" w:color="auto" w:fill="D9E2F3" w:themeFill="accent5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709.070,00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709.070,00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5601F5" w:rsidRDefault="00D62302" w:rsidP="00D62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745.907,00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3.1. Tekuće pomoći iz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državnog proračuna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13.272,00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13.272,00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47.525,00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Kapitalne pomoći iz državnog proračuna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281.174,00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3.3. Tekuće pomoći iz županijskog proračuna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72.995,00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72.995,00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72.995,00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3.4. Ostale pomoći i donacije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357.359,00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357.359,00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344.213,00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D9E2F3" w:themeFill="accent5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 Prihodi od prodaje nefinancijske imovine</w:t>
            </w:r>
          </w:p>
        </w:tc>
        <w:tc>
          <w:tcPr>
            <w:tcW w:w="2162" w:type="dxa"/>
            <w:shd w:val="clear" w:color="auto" w:fill="D9E2F3" w:themeFill="accent5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119.450,00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4.1. Prihodi od prodaje građevinskog zemljišta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66.361,00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53.089,00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D9E2F3" w:themeFill="accent5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 Prihodi za posebne namjene</w:t>
            </w:r>
          </w:p>
        </w:tc>
        <w:tc>
          <w:tcPr>
            <w:tcW w:w="2162" w:type="dxa"/>
            <w:shd w:val="clear" w:color="auto" w:fill="D9E2F3" w:themeFill="accent5" w:themeFillTint="33"/>
          </w:tcPr>
          <w:p w:rsidR="00D62302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498.375,00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498.375,00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Default="00D6230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498.375,00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 Prihodi za posebne namjene - ostali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106.842,00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106.842,00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106.842,00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 Komunalna naknada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5.3. Komunalni doprinos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265.446,00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5.4. Naknada za zadržavanje nezakonito izgrađenih zgrada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6.636,00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D9E2F3" w:themeFill="accent5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 Višak prihoda iz prethodne godine</w:t>
            </w:r>
          </w:p>
        </w:tc>
        <w:tc>
          <w:tcPr>
            <w:tcW w:w="2162" w:type="dxa"/>
            <w:shd w:val="clear" w:color="auto" w:fill="D9E2F3" w:themeFill="accent5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D62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1.118.206,00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 Višak prihoda iz prethodne godine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1.128.144,00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D62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1.118.206,00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D9E2F3" w:themeFill="accent5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 Izvori financiranja DV Osmjeh</w:t>
            </w:r>
          </w:p>
        </w:tc>
        <w:tc>
          <w:tcPr>
            <w:tcW w:w="2162" w:type="dxa"/>
            <w:shd w:val="clear" w:color="auto" w:fill="D9E2F3" w:themeFill="accent5" w:themeFillTint="33"/>
          </w:tcPr>
          <w:p w:rsidR="00D62302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31.191,00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31.191,00 EUR</w:t>
            </w:r>
          </w:p>
        </w:tc>
        <w:tc>
          <w:tcPr>
            <w:tcW w:w="2436" w:type="dxa"/>
            <w:shd w:val="clear" w:color="auto" w:fill="D9E2F3" w:themeFill="accent5" w:themeFillTint="33"/>
          </w:tcPr>
          <w:p w:rsidR="00D62302" w:rsidRDefault="00D62302" w:rsidP="00D62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D62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31.271,00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8.1. Vlastiti izvori DV Osmjeh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8.2. Ostali izvori DV Osmjeh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30.527,00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30.527,00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D623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30.607,00 EUR</w:t>
            </w:r>
          </w:p>
        </w:tc>
      </w:tr>
      <w:tr w:rsidR="00D62302" w:rsidRPr="005601F5" w:rsidTr="00D62302">
        <w:tc>
          <w:tcPr>
            <w:tcW w:w="3085" w:type="dxa"/>
            <w:shd w:val="clear" w:color="auto" w:fill="FFF2CC" w:themeFill="accent4" w:themeFillTint="33"/>
          </w:tcPr>
          <w:p w:rsidR="00D62302" w:rsidRPr="005601F5" w:rsidRDefault="00D62302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8.3. Pomoći DV Osmjeh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5601F5" w:rsidRDefault="00D62302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5601F5" w:rsidRDefault="00D6230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 EUR</w:t>
            </w:r>
          </w:p>
        </w:tc>
      </w:tr>
      <w:tr w:rsidR="00D62302" w:rsidRPr="00D62302" w:rsidTr="00D62302">
        <w:tc>
          <w:tcPr>
            <w:tcW w:w="3085" w:type="dxa"/>
            <w:shd w:val="clear" w:color="auto" w:fill="FFF2CC" w:themeFill="accent4" w:themeFillTint="33"/>
          </w:tcPr>
          <w:p w:rsidR="00D62302" w:rsidRPr="00D62302" w:rsidRDefault="00D62302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02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D62302" w:rsidRPr="00D62302" w:rsidRDefault="00D62302" w:rsidP="004916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02">
              <w:rPr>
                <w:rFonts w:ascii="Times New Roman" w:hAnsi="Times New Roman" w:cs="Times New Roman"/>
                <w:b/>
                <w:sz w:val="24"/>
                <w:szCs w:val="24"/>
              </w:rPr>
              <w:t>4.202.678,00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D62302" w:rsidRDefault="00D62302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02">
              <w:rPr>
                <w:rFonts w:ascii="Times New Roman" w:hAnsi="Times New Roman" w:cs="Times New Roman"/>
                <w:b/>
                <w:sz w:val="24"/>
                <w:szCs w:val="24"/>
              </w:rPr>
              <w:t>4.217.678,00 EUR</w:t>
            </w:r>
          </w:p>
        </w:tc>
        <w:tc>
          <w:tcPr>
            <w:tcW w:w="2436" w:type="dxa"/>
            <w:shd w:val="clear" w:color="auto" w:fill="FFF2CC" w:themeFill="accent4" w:themeFillTint="33"/>
          </w:tcPr>
          <w:p w:rsidR="00D62302" w:rsidRPr="00D62302" w:rsidRDefault="00D62302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0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ED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62302">
              <w:rPr>
                <w:rFonts w:ascii="Times New Roman" w:hAnsi="Times New Roman" w:cs="Times New Roman"/>
                <w:b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D62302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</w:tbl>
    <w:p w:rsidR="001C2B88" w:rsidRPr="005601F5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CD7C22" w:rsidRPr="005601F5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tbl>
      <w:tblPr>
        <w:tblStyle w:val="TableGrid"/>
        <w:tblW w:w="9854" w:type="dxa"/>
        <w:tblLook w:val="04A0"/>
      </w:tblPr>
      <w:tblGrid>
        <w:gridCol w:w="779"/>
        <w:gridCol w:w="2554"/>
        <w:gridCol w:w="2162"/>
        <w:gridCol w:w="2245"/>
        <w:gridCol w:w="2114"/>
      </w:tblGrid>
      <w:tr w:rsidR="007B1CBF" w:rsidRPr="005601F5" w:rsidTr="00E110EE">
        <w:tc>
          <w:tcPr>
            <w:tcW w:w="779" w:type="dxa"/>
            <w:shd w:val="clear" w:color="auto" w:fill="E2EFD9" w:themeFill="accent6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554" w:type="dxa"/>
            <w:shd w:val="clear" w:color="auto" w:fill="E2EFD9" w:themeFill="accent6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62" w:type="dxa"/>
            <w:shd w:val="clear" w:color="auto" w:fill="E2EFD9" w:themeFill="accent6" w:themeFillTint="33"/>
          </w:tcPr>
          <w:p w:rsidR="007B1CBF" w:rsidRPr="005601F5" w:rsidRDefault="007B1CBF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  <w:shd w:val="clear" w:color="auto" w:fill="E2EFD9" w:themeFill="accent6" w:themeFillTint="33"/>
          </w:tcPr>
          <w:p w:rsidR="007B1CBF" w:rsidRPr="005601F5" w:rsidRDefault="007B1CBF" w:rsidP="00640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2023.</w:t>
            </w:r>
          </w:p>
        </w:tc>
        <w:tc>
          <w:tcPr>
            <w:tcW w:w="2114" w:type="dxa"/>
            <w:shd w:val="clear" w:color="auto" w:fill="E2EFD9" w:themeFill="accent6" w:themeFillTint="33"/>
          </w:tcPr>
          <w:p w:rsidR="007B1CBF" w:rsidRPr="005601F5" w:rsidRDefault="007B1CBF" w:rsidP="00ED6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2023.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500.238,00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CF3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515.238,00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7B1CB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2.495</w:t>
            </w: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7B1CB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7B1CB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95.229,00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95.229,00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E110EE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103.830,00</w:t>
            </w:r>
            <w:r w:rsidR="007B1CBF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57.735,00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57.735,00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7B1CB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57.735,00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2.985.933,00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F" w:rsidRPr="005601F5" w:rsidRDefault="007B1CBF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2.985.933,00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7B1CB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F" w:rsidRPr="005601F5" w:rsidRDefault="007B1CBF" w:rsidP="00131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131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10EE">
              <w:rPr>
                <w:rFonts w:ascii="Times New Roman" w:hAnsi="Times New Roman" w:cs="Times New Roman"/>
                <w:sz w:val="24"/>
                <w:szCs w:val="24"/>
              </w:rPr>
              <w:t>0.331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5.309,00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5.309,00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7B1CBF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5.309,00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Rekreacija, kultura i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religija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E110EE" w:rsidRDefault="00E110EE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151.305,00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E110EE" w:rsidRDefault="00E110EE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F" w:rsidRPr="005601F5" w:rsidRDefault="007B1CBF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151.305,00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E110EE" w:rsidRDefault="00E110EE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CBF" w:rsidRPr="005601F5" w:rsidRDefault="00E110EE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170.535</w:t>
            </w:r>
            <w:r w:rsidR="007B1CBF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E110EE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275.763</w:t>
            </w:r>
            <w:r w:rsidR="007B1CBF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B1CBF" w:rsidRPr="005601F5" w:rsidTr="00E110EE">
        <w:tc>
          <w:tcPr>
            <w:tcW w:w="779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shd w:val="clear" w:color="auto" w:fill="FFF2CC" w:themeFill="accent4" w:themeFillTint="33"/>
          </w:tcPr>
          <w:p w:rsidR="007B1CBF" w:rsidRPr="005601F5" w:rsidRDefault="007B1CB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5601F5" w:rsidRDefault="007B1CBF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67.026,00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5601F5" w:rsidRDefault="007B1CBF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67.026,00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5601F5" w:rsidRDefault="007B1CBF" w:rsidP="00E110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1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.026,00 EUR</w:t>
            </w:r>
          </w:p>
        </w:tc>
      </w:tr>
      <w:tr w:rsidR="007B1CBF" w:rsidRPr="007B1CBF" w:rsidTr="00E110EE">
        <w:tc>
          <w:tcPr>
            <w:tcW w:w="3333" w:type="dxa"/>
            <w:gridSpan w:val="2"/>
            <w:shd w:val="clear" w:color="auto" w:fill="FFF2CC" w:themeFill="accent4" w:themeFillTint="33"/>
          </w:tcPr>
          <w:p w:rsidR="007B1CBF" w:rsidRPr="007B1CBF" w:rsidRDefault="007B1CB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2162" w:type="dxa"/>
            <w:shd w:val="clear" w:color="auto" w:fill="FFF2CC" w:themeFill="accent4" w:themeFillTint="33"/>
          </w:tcPr>
          <w:p w:rsidR="007B1CBF" w:rsidRPr="007B1CBF" w:rsidRDefault="007B1CBF" w:rsidP="006406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BF">
              <w:rPr>
                <w:rFonts w:ascii="Times New Roman" w:hAnsi="Times New Roman" w:cs="Times New Roman"/>
                <w:b/>
                <w:sz w:val="24"/>
                <w:szCs w:val="24"/>
              </w:rPr>
              <w:t>4.202.678,00 EUR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7B1CBF" w:rsidRPr="007B1CBF" w:rsidRDefault="007B1CBF" w:rsidP="00CF3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CBF">
              <w:rPr>
                <w:rFonts w:ascii="Times New Roman" w:hAnsi="Times New Roman" w:cs="Times New Roman"/>
                <w:b/>
                <w:sz w:val="24"/>
                <w:szCs w:val="24"/>
              </w:rPr>
              <w:t>4.217.678,00 EUR</w:t>
            </w:r>
          </w:p>
        </w:tc>
        <w:tc>
          <w:tcPr>
            <w:tcW w:w="2114" w:type="dxa"/>
            <w:shd w:val="clear" w:color="auto" w:fill="FFF2CC" w:themeFill="accent4" w:themeFillTint="33"/>
          </w:tcPr>
          <w:p w:rsidR="007B1CBF" w:rsidRPr="007B1CBF" w:rsidRDefault="00E110EE" w:rsidP="001313C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="001313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4.657,00 EUR</w:t>
            </w:r>
          </w:p>
        </w:tc>
      </w:tr>
    </w:tbl>
    <w:p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8" w:type="dxa"/>
        <w:tblLook w:val="04A0"/>
      </w:tblPr>
      <w:tblGrid>
        <w:gridCol w:w="3085"/>
        <w:gridCol w:w="2123"/>
        <w:gridCol w:w="2485"/>
        <w:gridCol w:w="2485"/>
      </w:tblGrid>
      <w:tr w:rsidR="005423ED" w:rsidRPr="005601F5" w:rsidTr="005423ED">
        <w:tc>
          <w:tcPr>
            <w:tcW w:w="3085" w:type="dxa"/>
            <w:shd w:val="clear" w:color="auto" w:fill="E2EFD9" w:themeFill="accent6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3" w:type="dxa"/>
            <w:shd w:val="clear" w:color="auto" w:fill="E2EFD9" w:themeFill="accent6" w:themeFillTint="33"/>
          </w:tcPr>
          <w:p w:rsidR="005423ED" w:rsidRPr="005601F5" w:rsidRDefault="005423ED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  <w:shd w:val="clear" w:color="auto" w:fill="E2EFD9" w:themeFill="accent6" w:themeFillTint="33"/>
          </w:tcPr>
          <w:p w:rsidR="005423ED" w:rsidRPr="005601F5" w:rsidRDefault="005423ED" w:rsidP="00ED6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izmjene i dopune 2023.</w:t>
            </w:r>
          </w:p>
        </w:tc>
        <w:tc>
          <w:tcPr>
            <w:tcW w:w="2485" w:type="dxa"/>
            <w:shd w:val="clear" w:color="auto" w:fill="E2EFD9" w:themeFill="accent6" w:themeFillTint="33"/>
          </w:tcPr>
          <w:p w:rsidR="005423ED" w:rsidRPr="005601F5" w:rsidRDefault="005423ED" w:rsidP="00ED2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izmjene i dopune 2023.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D9E2F3" w:themeFill="accent5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3" w:type="dxa"/>
            <w:shd w:val="clear" w:color="auto" w:fill="D9E2F3" w:themeFill="accent5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30.526,00 EUR</w:t>
            </w:r>
          </w:p>
        </w:tc>
        <w:tc>
          <w:tcPr>
            <w:tcW w:w="2485" w:type="dxa"/>
            <w:shd w:val="clear" w:color="auto" w:fill="D9E2F3" w:themeFill="accent5" w:themeFillTint="33"/>
          </w:tcPr>
          <w:p w:rsidR="005423ED" w:rsidRPr="00EC0D16" w:rsidRDefault="005423ED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6">
              <w:rPr>
                <w:rFonts w:ascii="Times New Roman" w:hAnsi="Times New Roman" w:cs="Times New Roman"/>
                <w:b/>
                <w:sz w:val="24"/>
                <w:szCs w:val="24"/>
              </w:rPr>
              <w:t>45.526,00 EUR</w:t>
            </w:r>
          </w:p>
        </w:tc>
        <w:tc>
          <w:tcPr>
            <w:tcW w:w="2485" w:type="dxa"/>
            <w:shd w:val="clear" w:color="auto" w:fill="D9E2F3" w:themeFill="accent5" w:themeFillTint="33"/>
          </w:tcPr>
          <w:p w:rsidR="005423ED" w:rsidRPr="00EC0D16" w:rsidRDefault="005423ED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D16">
              <w:rPr>
                <w:rFonts w:ascii="Times New Roman" w:hAnsi="Times New Roman" w:cs="Times New Roman"/>
                <w:b/>
                <w:sz w:val="24"/>
                <w:szCs w:val="24"/>
              </w:rPr>
              <w:t>45.526,00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30.526,00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ED" w:rsidRPr="00EC0D16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45.526,00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Default="005423E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ED" w:rsidRPr="00EC0D16" w:rsidRDefault="005423E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45.526,00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D9E2F3" w:themeFill="accent5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3" w:type="dxa"/>
            <w:shd w:val="clear" w:color="auto" w:fill="D9E2F3" w:themeFill="accent5" w:themeFillTint="33"/>
          </w:tcPr>
          <w:p w:rsidR="005423ED" w:rsidRDefault="005423ED" w:rsidP="004916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4.172.152,00 EUR</w:t>
            </w:r>
          </w:p>
        </w:tc>
        <w:tc>
          <w:tcPr>
            <w:tcW w:w="2485" w:type="dxa"/>
            <w:shd w:val="clear" w:color="auto" w:fill="D9E2F3" w:themeFill="accent5" w:themeFillTint="33"/>
          </w:tcPr>
          <w:p w:rsidR="005423ED" w:rsidRDefault="005423ED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4.172.152,00 EUR</w:t>
            </w:r>
          </w:p>
        </w:tc>
        <w:tc>
          <w:tcPr>
            <w:tcW w:w="2485" w:type="dxa"/>
            <w:shd w:val="clear" w:color="auto" w:fill="D9E2F3" w:themeFill="accent5" w:themeFillTint="33"/>
          </w:tcPr>
          <w:p w:rsidR="005423ED" w:rsidRDefault="005423ED" w:rsidP="002F49C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3ED" w:rsidRPr="005601F5" w:rsidRDefault="005423ED" w:rsidP="00063D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63DDA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.131,00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1.347.682,00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1.347.682,00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06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D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.614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79.633,00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4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i ostala infrastruktura 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2.292.781,00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ED" w:rsidRPr="005601F5" w:rsidRDefault="005423ED" w:rsidP="005423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Default="005423E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ED" w:rsidRPr="005601F5" w:rsidRDefault="005423ED" w:rsidP="00063D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3DD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.105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119.451,00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138.681,00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260.270,00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275.763,00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217.002,00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232.495,00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68.353,00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68.353,00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68.353,00 EUR</w:t>
            </w:r>
          </w:p>
        </w:tc>
      </w:tr>
      <w:tr w:rsidR="005423ED" w:rsidRPr="005601F5" w:rsidTr="005423ED">
        <w:tc>
          <w:tcPr>
            <w:tcW w:w="3085" w:type="dxa"/>
            <w:shd w:val="clear" w:color="auto" w:fill="FFF2CC" w:themeFill="accent4" w:themeFillTint="33"/>
          </w:tcPr>
          <w:p w:rsidR="005423ED" w:rsidRPr="005601F5" w:rsidRDefault="005423E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601F5" w:rsidRDefault="005423ED" w:rsidP="00491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ED62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601F5" w:rsidRDefault="005423E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3.982,00 EUR</w:t>
            </w:r>
          </w:p>
        </w:tc>
      </w:tr>
      <w:tr w:rsidR="005423ED" w:rsidRPr="005423ED" w:rsidTr="005423ED">
        <w:tc>
          <w:tcPr>
            <w:tcW w:w="3085" w:type="dxa"/>
            <w:shd w:val="clear" w:color="auto" w:fill="FFF2CC" w:themeFill="accent4" w:themeFillTint="33"/>
          </w:tcPr>
          <w:p w:rsidR="005423ED" w:rsidRPr="005423ED" w:rsidRDefault="005423ED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Ukupno: 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5423ED" w:rsidRPr="005423ED" w:rsidRDefault="005423ED" w:rsidP="004916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ED">
              <w:rPr>
                <w:rFonts w:ascii="Times New Roman" w:hAnsi="Times New Roman" w:cs="Times New Roman"/>
                <w:b/>
                <w:sz w:val="24"/>
                <w:szCs w:val="24"/>
              </w:rPr>
              <w:t>4.202.678,00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423ED" w:rsidRDefault="005423ED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ED">
              <w:rPr>
                <w:rFonts w:ascii="Times New Roman" w:hAnsi="Times New Roman" w:cs="Times New Roman"/>
                <w:b/>
                <w:sz w:val="24"/>
                <w:szCs w:val="24"/>
              </w:rPr>
              <w:t>4.217.678,00 EUR</w:t>
            </w:r>
          </w:p>
        </w:tc>
        <w:tc>
          <w:tcPr>
            <w:tcW w:w="2485" w:type="dxa"/>
            <w:shd w:val="clear" w:color="auto" w:fill="FFF2CC" w:themeFill="accent4" w:themeFillTint="33"/>
          </w:tcPr>
          <w:p w:rsidR="005423ED" w:rsidRPr="005423ED" w:rsidRDefault="005423ED" w:rsidP="00ED62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D6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4.657</w:t>
            </w:r>
            <w:r w:rsidRPr="005423ED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</w:tbl>
    <w:p w:rsidR="00A80911" w:rsidRDefault="00A8091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A80911" w:rsidRDefault="00A80911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:rsidR="00063DDA" w:rsidRDefault="00063DDA" w:rsidP="008E07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DDA" w:rsidRDefault="00063DDA" w:rsidP="008E07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pročuna Općine Starigrad za 2023. godinu su sljedeći: </w:t>
      </w:r>
    </w:p>
    <w:p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21.899,00 EUR</w:t>
            </w:r>
          </w:p>
          <w:p w:rsidR="00181858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81858" w:rsidRPr="005601F5" w:rsidRDefault="00DE13CF" w:rsidP="008E074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E074D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23.880,00 EUR</w:t>
            </w:r>
          </w:p>
        </w:tc>
      </w:tr>
      <w:tr w:rsidR="008D71CF" w:rsidRPr="005601F5" w:rsidTr="00E069E0">
        <w:tc>
          <w:tcPr>
            <w:tcW w:w="2093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443316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 w:rsidR="00C3516D">
        <w:rPr>
          <w:rFonts w:ascii="Times New Roman" w:hAnsi="Times New Roman" w:cs="Times New Roman"/>
          <w:sz w:val="24"/>
          <w:szCs w:val="24"/>
        </w:rPr>
        <w:t>1.327,00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 xml:space="preserve">Zakon o lokalnoj i područnoj (regionalnoj) samoupravi (NN 33/01, 60/01, </w:t>
            </w:r>
            <w:r w:rsidRPr="005601F5">
              <w:rPr>
                <w:rFonts w:ascii="Times New Roman" w:hAnsi="Times New Roman" w:cs="Times New Roman"/>
              </w:rPr>
              <w:lastRenderedPageBreak/>
              <w:t>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pomorskom dobru i morskim lukama (NN 158/03, 100/04, 141/06, 38/09, 123/11, 56/16, 98/19)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Uredbe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8E074D" w:rsidP="00EB35B1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 w:rsidR="00B01955"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1.327,00 EUR</w:t>
            </w:r>
          </w:p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  <w:p w:rsidR="00E67C2E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1.330,00 EUR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</w:t>
            </w:r>
            <w:r w:rsidR="00B01955"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:rsidR="004E572D" w:rsidRPr="005601F5" w:rsidRDefault="004E572D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B01955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EC0D16" w:rsidRDefault="00EC0D16" w:rsidP="00EC0D16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rFonts w:eastAsiaTheme="minorHAnsi"/>
          <w:lang w:val="hr-HR"/>
        </w:rPr>
      </w:pPr>
    </w:p>
    <w:p w:rsidR="004E572D" w:rsidRDefault="008179AE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</w:pPr>
      <w:r w:rsidRPr="00EC0D16">
        <w:rPr>
          <w:rFonts w:eastAsiaTheme="minorHAnsi"/>
          <w:lang w:val="hr-HR"/>
        </w:rPr>
        <w:t xml:space="preserve">Program </w:t>
      </w:r>
      <w:r w:rsidRPr="00EC0D16">
        <w:rPr>
          <w:rFonts w:eastAsiaTheme="minorHAnsi"/>
          <w:b/>
          <w:lang w:val="hr-HR"/>
        </w:rPr>
        <w:t>Provođenje izbora</w:t>
      </w:r>
      <w:r w:rsidRPr="00EC0D16">
        <w:rPr>
          <w:rFonts w:eastAsiaTheme="minorHAnsi"/>
          <w:lang w:val="hr-HR"/>
        </w:rPr>
        <w:t xml:space="preserve"> dodaje se I. izmjenama i dopunama proračuna</w:t>
      </w:r>
      <w:r w:rsidRPr="00EC0D16">
        <w:t xml:space="preserve"> </w:t>
      </w:r>
      <w:proofErr w:type="spellStart"/>
      <w:r w:rsidRPr="00EC0D16">
        <w:t>za</w:t>
      </w:r>
      <w:proofErr w:type="spellEnd"/>
      <w:r w:rsidRPr="00EC0D16">
        <w:t xml:space="preserve"> 2023. </w:t>
      </w:r>
      <w:proofErr w:type="spellStart"/>
      <w:proofErr w:type="gramStart"/>
      <w:r w:rsidRPr="00EC0D16">
        <w:t>godinu</w:t>
      </w:r>
      <w:proofErr w:type="spellEnd"/>
      <w:proofErr w:type="gramEnd"/>
      <w:r w:rsidRPr="00EC0D16">
        <w:rPr>
          <w:rFonts w:eastAsiaTheme="minorHAnsi"/>
          <w:lang w:val="hr-HR"/>
        </w:rPr>
        <w:t xml:space="preserve">, a obuhvaća održavanje prijevemenih izbora za općinskog načelnika u iznosu od </w:t>
      </w:r>
      <w:r w:rsidR="007063BC" w:rsidRPr="00EC0D16">
        <w:rPr>
          <w:rFonts w:eastAsiaTheme="minorHAnsi"/>
          <w:lang w:val="hr-HR"/>
        </w:rPr>
        <w:t>15.000,00</w:t>
      </w:r>
      <w:r w:rsidRPr="00EC0D16">
        <w:rPr>
          <w:rFonts w:eastAsiaTheme="minorHAnsi"/>
          <w:lang w:val="hr-HR"/>
        </w:rPr>
        <w:t xml:space="preserve"> EUR.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8179AE">
            <w:p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 xml:space="preserve">1003 </w:t>
            </w: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Provođenje izbora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Default="008179AE" w:rsidP="008179AE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lokaln</w:t>
            </w:r>
            <w:r>
              <w:rPr>
                <w:rFonts w:ascii="Times New Roman" w:hAnsi="Times New Roman" w:cs="Times New Roman"/>
              </w:rPr>
              <w:t>im izborima (</w:t>
            </w:r>
            <w:r w:rsidRPr="00C971E0">
              <w:rPr>
                <w:rFonts w:ascii="Times New Roman" w:hAnsi="Times New Roman" w:cs="Times New Roman"/>
              </w:rPr>
              <w:t xml:space="preserve">NN 144/12, 121/16, 98/19, 42/20, 144/20, </w:t>
            </w:r>
            <w:r w:rsidRPr="00C971E0">
              <w:rPr>
                <w:rFonts w:ascii="Times New Roman" w:hAnsi="Times New Roman" w:cs="Times New Roman"/>
              </w:rPr>
              <w:lastRenderedPageBreak/>
              <w:t>37/21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179AE" w:rsidRPr="005601F5" w:rsidRDefault="008179AE" w:rsidP="008179AE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98/19,144/20)</w:t>
            </w:r>
          </w:p>
          <w:p w:rsidR="008179AE" w:rsidRPr="005601F5" w:rsidRDefault="008179AE" w:rsidP="004916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179AE">
              <w:rPr>
                <w:rFonts w:ascii="Times New Roman" w:hAnsi="Times New Roman" w:cs="Times New Roman"/>
              </w:rPr>
              <w:t>Zakon o financiranju političkih aktivnosti, izborne promidžbe i referenduma</w:t>
            </w:r>
            <w:r>
              <w:rPr>
                <w:rFonts w:ascii="Times New Roman" w:hAnsi="Times New Roman" w:cs="Times New Roman"/>
              </w:rPr>
              <w:t xml:space="preserve"> (NN 29/19, 98/19)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EC0D16" w:rsidRDefault="008179AE" w:rsidP="008179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 xml:space="preserve">Aktivnost A100002 </w:t>
            </w:r>
            <w:r w:rsidRPr="00EC0D16">
              <w:rPr>
                <w:rFonts w:ascii="Times New Roman" w:hAnsi="Times New Roman" w:cs="Times New Roman"/>
                <w:sz w:val="24"/>
                <w:szCs w:val="24"/>
              </w:rPr>
              <w:t>Prijevremeni izbori za općinskog načelnika 2023.</w:t>
            </w:r>
          </w:p>
          <w:p w:rsidR="008179AE" w:rsidRPr="005601F5" w:rsidRDefault="008179AE" w:rsidP="008179A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Provođenje prijevremenih izbora za općinskog načelnika; Isplata izborne promidžbe; Isplata naknada članovima izbornog povjerenstva i članovima biračkih odbora; Nabava potrebnih materijala za provođenje izbora; Objave u novinama.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179AE" w:rsidRPr="005601F5" w:rsidRDefault="008179AE" w:rsidP="008179A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I. izmjene i dopune 2023. godina =</w:t>
            </w:r>
            <w:r w:rsidR="007063BC" w:rsidRPr="00EC0D16">
              <w:rPr>
                <w:rFonts w:ascii="Times New Roman" w:hAnsi="Times New Roman" w:cs="Times New Roman"/>
              </w:rPr>
              <w:t xml:space="preserve"> 15.000,00 EUR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79AE" w:rsidRPr="005601F5" w:rsidTr="004916AF">
        <w:tc>
          <w:tcPr>
            <w:tcW w:w="2093" w:type="dxa"/>
            <w:shd w:val="clear" w:color="auto" w:fill="FFF2CC" w:themeFill="accent4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179AE" w:rsidRPr="005601F5" w:rsidRDefault="008179AE" w:rsidP="004916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Održani izbori; Isplaćene naknade članovima izbornog povjerenstva i članovima biračkih odbora; Isplaćena sredstva izborne promidžbe.</w:t>
            </w:r>
          </w:p>
        </w:tc>
      </w:tr>
    </w:tbl>
    <w:p w:rsidR="00AA3BFE" w:rsidRDefault="00AA3BFE" w:rsidP="00AA3BFE">
      <w:pPr>
        <w:pStyle w:val="NoSpacing"/>
      </w:pPr>
    </w:p>
    <w:p w:rsidR="008179AE" w:rsidRPr="005601F5" w:rsidRDefault="00A704DC" w:rsidP="00AA3BFE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  <w:r w:rsidR="00AA3BFE" w:rsidRPr="00AA3BFE">
        <w:rPr>
          <w:lang w:val="hr-HR"/>
        </w:rPr>
        <w:t xml:space="preserve"> </w:t>
      </w:r>
      <w:r w:rsidR="00AA3BFE">
        <w:rPr>
          <w:lang w:val="hr-HR"/>
        </w:rPr>
        <w:t>Navedena sredstva se povećavaju i iznose 4</w:t>
      </w:r>
      <w:r w:rsidR="00F166AB">
        <w:rPr>
          <w:lang w:val="hr-HR"/>
        </w:rPr>
        <w:t>9</w:t>
      </w:r>
      <w:r w:rsidR="00AA3BFE">
        <w:rPr>
          <w:lang w:val="hr-HR"/>
        </w:rPr>
        <w:t xml:space="preserve">4.022,00 EUR. Do povećanja dolazi radi povećavanja </w:t>
      </w:r>
      <w:r w:rsidR="00AA3BFE" w:rsidRPr="00AA3BFE">
        <w:rPr>
          <w:lang w:val="hr-HR"/>
        </w:rPr>
        <w:t>stavke sitni inventar i autogume s obzirom da će biti potrebne nove autogume radi kupnje autom</w:t>
      </w:r>
      <w:r w:rsidR="00AA3BFE">
        <w:rPr>
          <w:lang w:val="hr-HR"/>
        </w:rPr>
        <w:t xml:space="preserve">obila, </w:t>
      </w:r>
      <w:r w:rsidR="00AA3BFE" w:rsidRPr="00AA3BFE">
        <w:rPr>
          <w:lang w:val="hr-HR"/>
        </w:rPr>
        <w:t>povećanja rashoda za usluge radi usklađenja pojedinih stavki usluga</w:t>
      </w:r>
      <w:r w:rsidR="00874790">
        <w:rPr>
          <w:lang w:val="hr-HR"/>
        </w:rPr>
        <w:t xml:space="preserve"> (geodetska izmjera povlači za sobom veće troškove geodetskih i odvjetničkih usluga radi troškova obilježavanja)</w:t>
      </w:r>
      <w:r w:rsidR="00AA3BFE" w:rsidRPr="00AA3BFE">
        <w:rPr>
          <w:lang w:val="hr-HR"/>
        </w:rPr>
        <w:t>, za povećanja rashoda za računalnu opremu i programe radi nadogradnje programa sukladno zakonskim izmjenama vezanim za uredsko poslovanje</w:t>
      </w:r>
      <w:r w:rsidR="00AA3BFE">
        <w:rPr>
          <w:lang w:val="hr-HR"/>
        </w:rPr>
        <w:t xml:space="preserve"> te </w:t>
      </w:r>
      <w:r w:rsidR="00AA3BFE" w:rsidRPr="00AA3BFE">
        <w:rPr>
          <w:lang w:val="hr-HR"/>
        </w:rPr>
        <w:t>smanjenje iznosa za kupnju osobnog autmobila sukladno postignutoj cijeni</w:t>
      </w:r>
      <w:r w:rsidR="00AA3BFE">
        <w:rPr>
          <w:lang w:val="hr-HR"/>
        </w:rPr>
        <w:t>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 w:rsidR="00B01955"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ustrojstvu Jedinstvenog upravnog odjela Općine Starigrad </w:t>
            </w:r>
            <w:r w:rsidRPr="005601F5">
              <w:rPr>
                <w:rFonts w:ascii="Times New Roman" w:hAnsi="Times New Roman" w:cs="Times New Roman"/>
              </w:rPr>
              <w:lastRenderedPageBreak/>
              <w:t>(Službeni glasnik Zadarske županije 06/06)</w:t>
            </w:r>
          </w:p>
          <w:p w:rsidR="00390E37" w:rsidRPr="005601F5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visini osnovice i koeficijentima za obračun plaće / naknade za dužnosnike Općine Starigrad Starigrad (Službeni glasnik Zadarske županije 08/19)</w:t>
            </w:r>
          </w:p>
          <w:p w:rsidR="003C1A17" w:rsidRPr="005601F5" w:rsidRDefault="003C1A17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koeficijentima za obračun plaće službenika i namještenika u Jedinstvenom upravnom odjelu Općine Starigrad (Službeni glasnik Zadarske županije 15/13</w:t>
            </w:r>
            <w:r w:rsidR="00A351E2" w:rsidRPr="005601F5">
              <w:rPr>
                <w:rFonts w:ascii="Times New Roman" w:hAnsi="Times New Roman" w:cs="Times New Roman"/>
              </w:rPr>
              <w:t>, 07/16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5601F5" w:rsidRDefault="00A351E2" w:rsidP="003C1A1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izmjeni Odluke o koeficijentima za obračun plaće službenika i namještenika u Jedinstvenom upravnom odjelu Općine Starigrad (Službeni glasnik Zadarske županije 08/19)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  <w:p w:rsidR="00B01955" w:rsidRPr="005601F5" w:rsidRDefault="00B01955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projektt K100005 Osobni automobil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3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453.786,00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:rsidR="00AA3BFE" w:rsidRPr="005601F5" w:rsidRDefault="00AA3BF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4</w:t>
            </w:r>
            <w:r w:rsidR="00F166A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4.022</w:t>
            </w:r>
            <w:r w:rsidRPr="00EC0D16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B0195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430.3</w:t>
            </w:r>
            <w:r w:rsidR="00CA7963">
              <w:rPr>
                <w:rFonts w:ascii="Times New Roman" w:hAnsi="Times New Roman" w:cs="Times New Roman"/>
              </w:rPr>
              <w:t>14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B01955" w:rsidP="00CA796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427.9</w:t>
            </w:r>
            <w:r w:rsidR="00CA7963">
              <w:rPr>
                <w:rFonts w:ascii="Times New Roman" w:hAnsi="Times New Roman" w:cs="Times New Roman"/>
              </w:rPr>
              <w:t>08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C3516D">
        <w:rPr>
          <w:rFonts w:ascii="Times New Roman" w:hAnsi="Times New Roman" w:cs="Times New Roman"/>
          <w:sz w:val="24"/>
          <w:szCs w:val="24"/>
        </w:rPr>
        <w:t>50.435,00 EUR.</w:t>
      </w:r>
      <w:r w:rsidR="00F343FC" w:rsidRPr="00F343FC">
        <w:t xml:space="preserve"> </w:t>
      </w:r>
      <w:r w:rsidR="00F343FC" w:rsidRPr="00F343FC">
        <w:rPr>
          <w:rFonts w:ascii="Times New Roman" w:hAnsi="Times New Roman" w:cs="Times New Roman"/>
          <w:sz w:val="24"/>
          <w:szCs w:val="24"/>
        </w:rPr>
        <w:t xml:space="preserve">Navedena sredstva se povećavaju i iznose </w:t>
      </w:r>
      <w:r w:rsidR="00F343FC">
        <w:rPr>
          <w:rFonts w:ascii="Times New Roman" w:hAnsi="Times New Roman" w:cs="Times New Roman"/>
          <w:sz w:val="24"/>
          <w:szCs w:val="24"/>
        </w:rPr>
        <w:t xml:space="preserve">52.435,00 EUR </w:t>
      </w:r>
      <w:r w:rsidR="00F343FC" w:rsidRPr="00F343FC">
        <w:rPr>
          <w:rFonts w:ascii="Times New Roman" w:hAnsi="Times New Roman" w:cs="Times New Roman"/>
          <w:sz w:val="24"/>
          <w:szCs w:val="24"/>
        </w:rPr>
        <w:t>radi povećanja stavke za Crveni križ sukladno iznosu koji treba predviđen za osiguranje sredstava za rad sukladno Zakonu o Hrvatskom crvenom križu.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="004F7510"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2023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50.435,00 EUR</w:t>
            </w:r>
          </w:p>
          <w:p w:rsidR="00F343FC" w:rsidRPr="00F343FC" w:rsidRDefault="00F343FC" w:rsidP="00F343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52.435</w:t>
            </w:r>
            <w:r w:rsidRPr="00EC0D16">
              <w:rPr>
                <w:rFonts w:ascii="Times New Roman" w:hAnsi="Times New Roman" w:cs="Times New Roman"/>
              </w:rPr>
              <w:t>,00 EUR</w:t>
            </w:r>
          </w:p>
          <w:p w:rsidR="00112256" w:rsidRP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2024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  <w:p w:rsidR="00112256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23.890,00 EUR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3516D">
        <w:rPr>
          <w:rFonts w:ascii="Times New Roman" w:hAnsi="Times New Roman" w:cs="Times New Roman"/>
          <w:sz w:val="24"/>
          <w:szCs w:val="24"/>
        </w:rPr>
        <w:t>1.659,00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="00F42569"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>1.659,00 EUR</w:t>
            </w:r>
          </w:p>
          <w:p w:rsidR="00C45392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  <w:p w:rsidR="00C45392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2.650,00 EUR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43FC" w:rsidRPr="005601F5" w:rsidRDefault="00A704DC" w:rsidP="00F343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C3516D">
        <w:rPr>
          <w:rFonts w:ascii="Times New Roman" w:hAnsi="Times New Roman" w:cs="Times New Roman"/>
          <w:sz w:val="24"/>
          <w:szCs w:val="24"/>
        </w:rPr>
        <w:t>91.247,00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</w:t>
      </w:r>
      <w:r w:rsidR="003832EE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 Okusi baštinu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obuhvaća niz edukativnih i kulturno-turističkih događanja za lokalnu zajednicu i turista, kroz koje se želi doprinijeti očuvanju, vrednovanju i promociji kulturne- maritimne baštine te tradicije ribarstva i marikulture na području Općine Starigrad koja je članica LAGUR-a Tri mora.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Nositelj projekta je TZO Starigrad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33516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Općina Starigrad je partner te će u projektu sudjelovati financiranjem gastro radionice za ugostitelje. Cilj edukacije je unaprijediti znanja i vještine te ugostiteljsku ponudu u skladu sa zahtjevima tržišta te ojačati poziciju lokalnog ribarstva i akvakulture kroz turizam.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Ukupna vrijednost projekta će iznositi oko 270.000,00 kn od čega bi obveza Općine iznosila 3</w:t>
      </w:r>
      <w:r w:rsidR="001426A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.000,00 kn te će se kandidirati na natječaj FLAG-a Tri mora, Mjera 2.2.</w:t>
      </w:r>
      <w:r w:rsidR="00A911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Potpora vrednovanju, zaštiti i promociji kulturne-maritimne baštine te tradicije ribarstva i akvakulture.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Predviđeno je financiranje u iznosu od 100%. Projekt se planira realizirati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kraja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2023. godini. Provedbi ovog projekta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>prethodila je</w:t>
      </w:r>
      <w:r w:rsidR="008724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F3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faza projekta Okusi baštinu kojemu je nositelj također TZO Starigrad u partnerstvu sa Općinom Starigrad a koji </w:t>
      </w:r>
      <w:r w:rsidR="00D1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provodio u 2022. godini.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Turističkom zajednicom Zadarske županije ugovorena je međusobna suradnja na realiziciji marketinških aktivnosti putem kanala strateških partnera, poglavito inozemnih avio-kompanija. </w:t>
      </w:r>
      <w:r w:rsidR="00F343FC" w:rsidRPr="00F343FC">
        <w:rPr>
          <w:rFonts w:ascii="Times New Roman" w:hAnsi="Times New Roman" w:cs="Times New Roman"/>
          <w:sz w:val="24"/>
          <w:szCs w:val="24"/>
        </w:rPr>
        <w:t xml:space="preserve">Navedena sredstva se povećavaju i iznose </w:t>
      </w:r>
      <w:r w:rsidR="00F343FC">
        <w:rPr>
          <w:rFonts w:ascii="Times New Roman" w:hAnsi="Times New Roman" w:cs="Times New Roman"/>
          <w:sz w:val="24"/>
          <w:szCs w:val="24"/>
        </w:rPr>
        <w:t xml:space="preserve">99.848,00 EUR </w:t>
      </w:r>
      <w:r w:rsidR="00F343FC" w:rsidRPr="00F343FC">
        <w:rPr>
          <w:rFonts w:ascii="Times New Roman" w:hAnsi="Times New Roman" w:cs="Times New Roman"/>
          <w:sz w:val="24"/>
          <w:szCs w:val="24"/>
        </w:rPr>
        <w:t xml:space="preserve">radi povećanja stavke za </w:t>
      </w:r>
      <w:r w:rsidR="00F343FC">
        <w:rPr>
          <w:rFonts w:ascii="Times New Roman" w:hAnsi="Times New Roman" w:cs="Times New Roman"/>
          <w:sz w:val="24"/>
          <w:szCs w:val="24"/>
        </w:rPr>
        <w:t xml:space="preserve">projekte Turističke zajednice Općine Starigrad u kojima Općina Starigrad sudjeluje kao partner, a to je projekt Okusi baštinu i projekt Ribarske </w:t>
      </w:r>
      <w:r w:rsidR="008724D4">
        <w:rPr>
          <w:rFonts w:ascii="Times New Roman" w:hAnsi="Times New Roman" w:cs="Times New Roman"/>
          <w:sz w:val="24"/>
          <w:szCs w:val="24"/>
        </w:rPr>
        <w:t>feštice.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D14C50" w:rsidRPr="005601F5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14C50">
              <w:rPr>
                <w:rFonts w:ascii="Times New Roman" w:hAnsi="Times New Roman" w:cs="Times New Roman"/>
              </w:rPr>
              <w:t>3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91.247,00 EUR</w:t>
            </w:r>
          </w:p>
          <w:p w:rsidR="008724D4" w:rsidRP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99.848,00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F42569" w:rsidRPr="005601F5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321.060,00 EUR</w:t>
            </w:r>
          </w:p>
          <w:p w:rsidR="00F42569" w:rsidRPr="005601F5" w:rsidRDefault="00D14C50" w:rsidP="00D14C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301.150,00 EUR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471D7"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8724D4" w:rsidRDefault="008724D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3516D">
        <w:rPr>
          <w:rFonts w:ascii="Times New Roman" w:hAnsi="Times New Roman" w:cs="Times New Roman"/>
          <w:sz w:val="24"/>
          <w:szCs w:val="24"/>
        </w:rPr>
        <w:t>168.559,00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sredstva za Pročišćivač otpadnih voda Benkovac i </w:t>
      </w:r>
      <w:r w:rsidR="006C5E3C" w:rsidRPr="005601F5">
        <w:rPr>
          <w:rFonts w:ascii="Times New Roman" w:hAnsi="Times New Roman" w:cs="Times New Roman"/>
          <w:sz w:val="24"/>
          <w:szCs w:val="24"/>
        </w:rPr>
        <w:lastRenderedPageBreak/>
        <w:t>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09E" w:rsidRPr="00F9309E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</w:p>
          <w:p w:rsidR="003471D7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="001D01CC"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3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168.559,00 EUR</w:t>
            </w:r>
          </w:p>
          <w:p w:rsidR="003471D7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4</w:t>
            </w:r>
            <w:r w:rsidR="00A9653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115.660,00 EUR</w:t>
            </w:r>
          </w:p>
          <w:p w:rsidR="003471D7" w:rsidRPr="005601F5" w:rsidRDefault="003832EE" w:rsidP="0001442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14422">
              <w:rPr>
                <w:rFonts w:ascii="Times New Roman" w:hAnsi="Times New Roman" w:cs="Times New Roman"/>
              </w:rPr>
              <w:t>5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115.490,00 EUR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komunalne opreme – kante, izrad</w:t>
      </w:r>
      <w:r w:rsidR="00C83EB2" w:rsidRPr="005601F5">
        <w:rPr>
          <w:rFonts w:ascii="Times New Roman" w:hAnsi="Times New Roman" w:cs="Times New Roman"/>
          <w:sz w:val="24"/>
          <w:szCs w:val="24"/>
        </w:rPr>
        <w:t>u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projektne dokumentacije za Reciklažno dvorište,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C3516D">
        <w:rPr>
          <w:rFonts w:ascii="Times New Roman" w:hAnsi="Times New Roman" w:cs="Times New Roman"/>
          <w:sz w:val="24"/>
          <w:szCs w:val="24"/>
        </w:rPr>
        <w:t>57.735,00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724D4">
        <w:rPr>
          <w:rFonts w:ascii="Times New Roman" w:hAnsi="Times New Roman" w:cs="Times New Roman"/>
          <w:sz w:val="24"/>
          <w:szCs w:val="24"/>
        </w:rPr>
        <w:t>Projekt Reciklažno dvorište je premještan pod Program građenja komunalne infrastrukture.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održivom gospodarenju otpadom (NN 94/13, 73/17</w:t>
            </w:r>
            <w:r w:rsidR="00386DB0" w:rsidRPr="005601F5">
              <w:rPr>
                <w:rFonts w:ascii="Times New Roman" w:hAnsi="Times New Roman" w:cs="Times New Roman"/>
              </w:rPr>
              <w:t>, 14/19, 98/19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Razvoj zelene infrastrukture na urbanim područjima i stvaranje 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6330" w:rsidRPr="005601F5">
              <w:rPr>
                <w:rFonts w:ascii="Times New Roman" w:hAnsi="Times New Roman" w:cs="Times New Roman"/>
              </w:rPr>
              <w:t xml:space="preserve">Uspostava odvajanja otpada na mjestu nastanka kako bi se smanjila </w:t>
            </w:r>
            <w:r w:rsidR="006F6330" w:rsidRPr="005601F5">
              <w:rPr>
                <w:rFonts w:ascii="Times New Roman" w:hAnsi="Times New Roman" w:cs="Times New Roman"/>
              </w:rPr>
              <w:lastRenderedPageBreak/>
              <w:t xml:space="preserve">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="006F6330"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E03C71" w:rsidRPr="005601F5">
              <w:rPr>
                <w:rFonts w:ascii="Times New Roman" w:hAnsi="Times New Roman" w:cs="Times New Roman"/>
              </w:rPr>
              <w:t xml:space="preserve">Izrada projektne dokumentacije Reciklažno dvorište;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="006F6330"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57.735,00 EUR</w:t>
            </w:r>
          </w:p>
          <w:p w:rsidR="008724D4" w:rsidRP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27.209,00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1D01CC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146.660,00 EUR</w:t>
            </w:r>
          </w:p>
          <w:p w:rsidR="001D01CC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AE3B72" w:rsidRPr="005601F5">
              <w:rPr>
                <w:rFonts w:ascii="Times New Roman" w:hAnsi="Times New Roman" w:cs="Times New Roman"/>
              </w:rPr>
              <w:t xml:space="preserve">  </w:t>
            </w:r>
            <w:r w:rsidR="00C3516D">
              <w:rPr>
                <w:rFonts w:ascii="Times New Roman" w:hAnsi="Times New Roman" w:cs="Times New Roman"/>
              </w:rPr>
              <w:t xml:space="preserve">  9.950,00 EUR</w:t>
            </w:r>
            <w:r w:rsidR="00AE3B72" w:rsidRPr="005601F5">
              <w:rPr>
                <w:rFonts w:ascii="Times New Roman" w:hAnsi="Times New Roman" w:cs="Times New Roman"/>
              </w:rPr>
              <w:t xml:space="preserve"> </w:t>
            </w:r>
            <w:r w:rsidR="00386DB0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E03C7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 Izrada projek</w:t>
            </w:r>
            <w:r w:rsidR="00386DB0" w:rsidRPr="005601F5">
              <w:rPr>
                <w:rFonts w:ascii="Times New Roman" w:hAnsi="Times New Roman" w:cs="Times New Roman"/>
              </w:rPr>
              <w:t>tne</w:t>
            </w:r>
            <w:r w:rsidRPr="005601F5">
              <w:rPr>
                <w:rFonts w:ascii="Times New Roman" w:hAnsi="Times New Roman" w:cs="Times New Roman"/>
              </w:rPr>
              <w:t xml:space="preserve"> dokumentacij</w:t>
            </w:r>
            <w:r w:rsidR="00386DB0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Reciklažno dvorište</w:t>
            </w:r>
            <w:r w:rsidR="00386DB0" w:rsidRPr="005601F5">
              <w:rPr>
                <w:rFonts w:ascii="Times New Roman" w:hAnsi="Times New Roman" w:cs="Times New Roman"/>
              </w:rPr>
              <w:t xml:space="preserve"> i </w:t>
            </w:r>
            <w:r w:rsidR="00E03C71" w:rsidRPr="005601F5">
              <w:rPr>
                <w:rFonts w:ascii="Times New Roman" w:hAnsi="Times New Roman" w:cs="Times New Roman"/>
              </w:rPr>
              <w:t>monitoring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Zgrada i okoliš su godinama zapušteni, bez prave namjene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nalaze se u samom središtu Starigrada, uz glavnu mjesnu šetnicu. Cilj je obnoviti zgradu sa okolišem te ih staviti u edukativno-turističku funkciju za lokalno stanovništvo i turiste i to uspostavljanjem malog interpretacijskog centra mora. Interpretacijski sadržaj Centra će obuhvatiti prirodne vrijednosti mora, potoka i rijeka u našem okruženju ali i tradicijske elemente vezane uz ribarstvo i marikulturu, također u odnosu na cjelokupni tradicijski život na podvelebitskom području. Time će ovaj sadržaj nadopuniti npr. interpretacijski sadržaj Podzemnog grada Paklenice koji će govoriti o planini te će se dodatno unaprijediti turistička ponuda destinacije.</w:t>
      </w:r>
      <w:r w:rsidR="004E7699" w:rsidRPr="005601F5"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Projekt se planira kandidirati na natječaj LAGUR-a Tri mora, Mjera 2.1."Potpora vrednovanju, zaštiti i promociji prirodne resursne osnove - rijeka, mora i priobalja" odakle se planira financirati oko 50% ukupno potrebnih sredstava. Nositelj projekta je Općina Starigrad kao vlasnik zgrade i okoliša, uz TZO kao partnera koji će biti zadužen za izradu interpretacijskog sadržaja. Projekt predstavlja 2. fazu jer je 1. faza obuhvatila uređenje okoliša zgrade na istu temu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(tada nije bilo moguće kandidirati zgradu). Očekuje se financiranje u 100% tnom iznosu ali, kako je vrijednost investicije veća od ukupno dostupnih sredstava iz Natječaja, razliku će financirati Općina</w:t>
      </w:r>
      <w:r w:rsidR="00D950D5">
        <w:rPr>
          <w:rFonts w:ascii="Times New Roman" w:hAnsi="Times New Roman" w:cs="Times New Roman"/>
          <w:sz w:val="24"/>
          <w:szCs w:val="24"/>
        </w:rPr>
        <w:t>,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a TZO Starigrad će iz vlastitih sredstava financirati interpretacijski sadržaj. Realizacija projekta se planira tijekom 2023.</w:t>
      </w:r>
      <w:r w:rsidR="00D950D5">
        <w:rPr>
          <w:rFonts w:ascii="Times New Roman" w:hAnsi="Times New Roman" w:cs="Times New Roman"/>
          <w:sz w:val="24"/>
          <w:szCs w:val="24"/>
        </w:rPr>
        <w:t xml:space="preserve"> godine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kada projekt mora biti završen i u funkciji. </w:t>
      </w:r>
      <w:r w:rsidR="00D950D5">
        <w:rPr>
          <w:rFonts w:ascii="Times New Roman" w:hAnsi="Times New Roman" w:cs="Times New Roman"/>
          <w:sz w:val="24"/>
          <w:szCs w:val="24"/>
        </w:rPr>
        <w:t xml:space="preserve">Projektom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 Sanacija i uređenje zgrade </w:t>
      </w:r>
      <w:r w:rsidRPr="005601F5">
        <w:rPr>
          <w:rFonts w:ascii="Times New Roman" w:hAnsi="Times New Roman" w:cs="Times New Roman"/>
          <w:sz w:val="24"/>
          <w:szCs w:val="24"/>
        </w:rPr>
        <w:t>Društveni dom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Starigrad </w:t>
      </w:r>
      <w:r w:rsidR="00F9309E">
        <w:rPr>
          <w:rFonts w:ascii="Times New Roman" w:hAnsi="Times New Roman" w:cs="Times New Roman"/>
          <w:sz w:val="24"/>
          <w:szCs w:val="24"/>
        </w:rPr>
        <w:t>uređena je i opremljena zgrada koja je započeta radovima u 2022. godini, te će se u ovoj godini dovršiti planirani projekt.</w:t>
      </w:r>
      <w:r w:rsidR="008724D4" w:rsidRPr="008724D4">
        <w:rPr>
          <w:rFonts w:ascii="Times New Roman" w:hAnsi="Times New Roman" w:cs="Times New Roman"/>
          <w:sz w:val="24"/>
          <w:szCs w:val="24"/>
        </w:rPr>
        <w:t xml:space="preserve"> </w:t>
      </w:r>
      <w:r w:rsidR="008724D4" w:rsidRPr="00F343FC">
        <w:rPr>
          <w:rFonts w:ascii="Times New Roman" w:hAnsi="Times New Roman" w:cs="Times New Roman"/>
          <w:sz w:val="24"/>
          <w:szCs w:val="24"/>
        </w:rPr>
        <w:t xml:space="preserve">Navedena sredstva se povećavaju i iznose </w:t>
      </w:r>
      <w:r w:rsidR="008724D4">
        <w:rPr>
          <w:rFonts w:ascii="Times New Roman" w:hAnsi="Times New Roman" w:cs="Times New Roman"/>
          <w:sz w:val="24"/>
          <w:szCs w:val="24"/>
        </w:rPr>
        <w:t xml:space="preserve">576.701,00 EUR </w:t>
      </w:r>
      <w:r w:rsidR="008724D4" w:rsidRPr="00F343FC">
        <w:rPr>
          <w:rFonts w:ascii="Times New Roman" w:hAnsi="Times New Roman" w:cs="Times New Roman"/>
          <w:sz w:val="24"/>
          <w:szCs w:val="24"/>
        </w:rPr>
        <w:t xml:space="preserve">radi povećanja stavke za </w:t>
      </w:r>
      <w:r w:rsidR="008724D4">
        <w:rPr>
          <w:rFonts w:ascii="Times New Roman" w:hAnsi="Times New Roman" w:cs="Times New Roman"/>
          <w:sz w:val="24"/>
          <w:szCs w:val="24"/>
        </w:rPr>
        <w:t>projekte uređenja Društvenog doma (dodavanje iznosa za stručni nadzor nad radovima) i Interpretacijski centar mora (sukladno postignutim cijenama nakon provedenog postupka javne nabave). Također su dodana sredstava za opremu i radove na zgradi dječjeg vrtića Osmjeh.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125/16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FE1A08" w:rsidRPr="005601F5" w:rsidRDefault="00FE1A08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K100003 </w:t>
            </w:r>
            <w:r w:rsidR="004F03B0" w:rsidRPr="005601F5">
              <w:rPr>
                <w:rFonts w:ascii="Times New Roman" w:hAnsi="Times New Roman" w:cs="Times New Roman"/>
              </w:rPr>
              <w:t>Sanacija i uređenje zgrade Društveni dom Starigrad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lastRenderedPageBreak/>
              <w:t xml:space="preserve">Povećanje energetske učinkovitosti infrastrukture i zgrada u javnom i privatnom </w:t>
            </w:r>
            <w:r w:rsidRPr="00F9309E">
              <w:rPr>
                <w:rFonts w:ascii="Times New Roman" w:hAnsi="Times New Roman" w:cs="Times New Roman"/>
              </w:rPr>
              <w:lastRenderedPageBreak/>
              <w:t>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="00722287"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>491.080,00 EUR</w:t>
            </w:r>
          </w:p>
          <w:p w:rsidR="008724D4" w:rsidRP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576.701,00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46.410,00 EUR</w:t>
            </w:r>
          </w:p>
          <w:p w:rsidR="00FE1A08" w:rsidRPr="005601F5" w:rsidRDefault="003857AA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5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46.450,00 EUR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5206E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5206EF" w:rsidRPr="005601F5">
              <w:rPr>
                <w:rFonts w:ascii="Times New Roman" w:hAnsi="Times New Roman" w:cs="Times New Roman"/>
              </w:rPr>
              <w:t>uređen</w:t>
            </w:r>
            <w:r w:rsidR="003857AA" w:rsidRPr="005601F5">
              <w:rPr>
                <w:rFonts w:ascii="Times New Roman" w:hAnsi="Times New Roman" w:cs="Times New Roman"/>
              </w:rPr>
              <w:t xml:space="preserve">  Društveni dom</w:t>
            </w:r>
            <w:r w:rsidRPr="005601F5">
              <w:rPr>
                <w:rFonts w:ascii="Times New Roman" w:hAnsi="Times New Roman" w:cs="Times New Roman"/>
              </w:rPr>
              <w:t xml:space="preserve"> Starigrad;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Uređenje Jazina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51FA6"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F9309E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9309E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</w:t>
            </w:r>
            <w:r w:rsidR="00F9309E">
              <w:rPr>
                <w:rFonts w:ascii="Times New Roman" w:hAnsi="Times New Roman" w:cs="Times New Roman"/>
              </w:rPr>
              <w:t>13.272,00 EUR</w:t>
            </w:r>
          </w:p>
          <w:p w:rsidR="00EB35B1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B35B1" w:rsidRPr="005601F5">
              <w:rPr>
                <w:rFonts w:ascii="Times New Roman" w:hAnsi="Times New Roman" w:cs="Times New Roman"/>
              </w:rPr>
              <w:t>. godina =</w:t>
            </w:r>
            <w:r w:rsidR="00C3516D">
              <w:rPr>
                <w:rFonts w:ascii="Times New Roman" w:hAnsi="Times New Roman" w:cs="Times New Roman"/>
              </w:rPr>
              <w:t xml:space="preserve">   66.360,00 EUR</w:t>
            </w:r>
            <w:r w:rsidR="00151FA6" w:rsidRPr="005601F5">
              <w:rPr>
                <w:rFonts w:ascii="Times New Roman" w:hAnsi="Times New Roman" w:cs="Times New Roman"/>
              </w:rPr>
              <w:t xml:space="preserve"> </w:t>
            </w:r>
          </w:p>
          <w:p w:rsidR="00EB35B1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35B1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145.990,00 EUR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 i urbane opreme (klupe) u ukupnom iznosu od </w:t>
      </w:r>
      <w:r w:rsidR="00C3516D">
        <w:rPr>
          <w:rFonts w:ascii="Times New Roman" w:hAnsi="Times New Roman" w:cs="Times New Roman"/>
          <w:sz w:val="24"/>
          <w:szCs w:val="24"/>
        </w:rPr>
        <w:t>19.909,00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F9309E">
        <w:rPr>
          <w:rFonts w:ascii="Times New Roman" w:hAnsi="Times New Roman" w:cs="Times New Roman"/>
          <w:sz w:val="24"/>
          <w:szCs w:val="24"/>
        </w:rPr>
        <w:t>, te na dodatne troškove koji će nastati u sklopu geodetske izmjere na području Općine Starigrad koji će se financirati iz proračuna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Default="00301C9D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  <w:p w:rsidR="00F9309E" w:rsidRPr="005601F5" w:rsidRDefault="00F9309E" w:rsidP="00301C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A100002 Geodetska izmjera na području Općine Starigrad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01C9D"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19.909,00 EUR</w:t>
            </w:r>
          </w:p>
          <w:p w:rsidR="00F9309E" w:rsidRPr="00F9309E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7341F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6.640,00 EUR</w:t>
            </w:r>
          </w:p>
          <w:p w:rsidR="00710C52" w:rsidRPr="005601F5" w:rsidRDefault="00F9309E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6.630,00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301C9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Nabava dječjeg igrališta; Nabava urbane opreme.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459DA">
        <w:rPr>
          <w:rFonts w:ascii="Times New Roman" w:hAnsi="Times New Roman" w:cs="Times New Roman"/>
          <w:sz w:val="24"/>
          <w:szCs w:val="24"/>
        </w:rPr>
        <w:t>70.343,00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>koji je prijavljen na podmjeru 7.4. iz programa Ruralnog razvoja RH. Predviđenim projektom planira se izgradnja i opremanje zgrade dobrovoljnog vatrogasnog društva na k.č. 2190/2 k.o. Seline.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33CEA" w:rsidRPr="00233CEA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</w:p>
          <w:p w:rsidR="00710C52" w:rsidRPr="005601F5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4756BE"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70.343,00 EUR</w:t>
            </w:r>
          </w:p>
          <w:p w:rsidR="00710C52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99.540,00 EUR</w:t>
            </w:r>
          </w:p>
          <w:p w:rsidR="00710C52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139.360,00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9.290,00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351370"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33CEA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33CE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B061F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  <w:p w:rsidR="004756BE" w:rsidRPr="005601F5" w:rsidRDefault="00233CEA" w:rsidP="00233C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4756B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9.290,00 EUR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59DA">
        <w:rPr>
          <w:rFonts w:ascii="Times New Roman" w:hAnsi="Times New Roman" w:cs="Times New Roman"/>
          <w:sz w:val="24"/>
          <w:szCs w:val="24"/>
        </w:rPr>
        <w:t>879.287,00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:rsidR="00351370" w:rsidRPr="005601F5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="00233CEA"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233CEA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="00AC3392"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879.287,00 EUR</w:t>
            </w:r>
          </w:p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8459DA">
              <w:rPr>
                <w:rFonts w:ascii="Times New Roman" w:hAnsi="Times New Roman" w:cs="Times New Roman"/>
              </w:rPr>
              <w:t>761.840,00 EUR</w:t>
            </w:r>
          </w:p>
          <w:p w:rsidR="00351370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759.820,00 EUR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plaža Jaz, Rekonstrukcija nerazvrstanih cesta, Središnji obalni pojas, izgradnja javne rasvjete,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Projekt uređenja male komunalne infrastrukture na šumskom području,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Sanacija ulica 112. Brigade, 164. Brigade i Jose Dokoza, Dječje igralište na području </w:t>
      </w:r>
      <w:r w:rsidR="00D62DDF">
        <w:rPr>
          <w:rFonts w:ascii="Times New Roman" w:hAnsi="Times New Roman" w:cs="Times New Roman"/>
          <w:sz w:val="24"/>
          <w:szCs w:val="24"/>
        </w:rPr>
        <w:t>Općine Starigrad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Ugostiteljsko turistička zona Pod Bucića Podi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te Izradu projektnih dokumentacija za buduće projekte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1.347.133,00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  <w:r w:rsidR="008724D4" w:rsidRPr="008724D4">
        <w:rPr>
          <w:rFonts w:ascii="Times New Roman" w:hAnsi="Times New Roman" w:cs="Times New Roman"/>
          <w:sz w:val="24"/>
          <w:szCs w:val="24"/>
        </w:rPr>
        <w:t xml:space="preserve"> </w:t>
      </w:r>
      <w:r w:rsidR="008724D4" w:rsidRPr="00F343FC">
        <w:rPr>
          <w:rFonts w:ascii="Times New Roman" w:hAnsi="Times New Roman" w:cs="Times New Roman"/>
          <w:sz w:val="24"/>
          <w:szCs w:val="24"/>
        </w:rPr>
        <w:t xml:space="preserve">Navedena sredstva se </w:t>
      </w:r>
      <w:r w:rsidR="008724D4">
        <w:rPr>
          <w:rFonts w:ascii="Times New Roman" w:hAnsi="Times New Roman" w:cs="Times New Roman"/>
          <w:sz w:val="24"/>
          <w:szCs w:val="24"/>
        </w:rPr>
        <w:t>smanjuju</w:t>
      </w:r>
      <w:r w:rsidR="008724D4" w:rsidRPr="00F343FC">
        <w:rPr>
          <w:rFonts w:ascii="Times New Roman" w:hAnsi="Times New Roman" w:cs="Times New Roman"/>
          <w:sz w:val="24"/>
          <w:szCs w:val="24"/>
        </w:rPr>
        <w:t xml:space="preserve"> i iznose </w:t>
      </w:r>
      <w:r w:rsidR="008724D4">
        <w:rPr>
          <w:rFonts w:ascii="Times New Roman" w:hAnsi="Times New Roman" w:cs="Times New Roman"/>
          <w:sz w:val="24"/>
          <w:szCs w:val="24"/>
        </w:rPr>
        <w:t>1.2</w:t>
      </w:r>
      <w:r w:rsidR="00F166AB">
        <w:rPr>
          <w:rFonts w:ascii="Times New Roman" w:hAnsi="Times New Roman" w:cs="Times New Roman"/>
          <w:sz w:val="24"/>
          <w:szCs w:val="24"/>
        </w:rPr>
        <w:t>03</w:t>
      </w:r>
      <w:r w:rsidR="008724D4">
        <w:rPr>
          <w:rFonts w:ascii="Times New Roman" w:hAnsi="Times New Roman" w:cs="Times New Roman"/>
          <w:sz w:val="24"/>
          <w:szCs w:val="24"/>
        </w:rPr>
        <w:t>.457,00 EUR radi i to dolazi do smanjenja stavke za projekt Središnji obalni pojas</w:t>
      </w:r>
      <w:r w:rsidR="00874790">
        <w:rPr>
          <w:rFonts w:ascii="Times New Roman" w:hAnsi="Times New Roman" w:cs="Times New Roman"/>
          <w:sz w:val="24"/>
          <w:szCs w:val="24"/>
        </w:rPr>
        <w:t xml:space="preserve"> i Groblje Seline </w:t>
      </w:r>
      <w:r w:rsidR="008724D4">
        <w:rPr>
          <w:rFonts w:ascii="Times New Roman" w:hAnsi="Times New Roman" w:cs="Times New Roman"/>
          <w:sz w:val="24"/>
          <w:szCs w:val="24"/>
        </w:rPr>
        <w:t xml:space="preserve"> sukladno planiranoj dinamici izvođenja radova do kraja godine, povećanja stavke za dječje igralište radi povećanja cijena, te je projekt Reciklažno dvorište je premješt</w:t>
      </w:r>
      <w:r w:rsidR="00F166AB">
        <w:rPr>
          <w:rFonts w:ascii="Times New Roman" w:hAnsi="Times New Roman" w:cs="Times New Roman"/>
          <w:sz w:val="24"/>
          <w:szCs w:val="24"/>
        </w:rPr>
        <w:t>e</w:t>
      </w:r>
      <w:r w:rsidR="008724D4">
        <w:rPr>
          <w:rFonts w:ascii="Times New Roman" w:hAnsi="Times New Roman" w:cs="Times New Roman"/>
          <w:sz w:val="24"/>
          <w:szCs w:val="24"/>
        </w:rPr>
        <w:t>n pod Program građenja komunalne infrastrukture.</w:t>
      </w:r>
    </w:p>
    <w:p w:rsidR="00874790" w:rsidRPr="005601F5" w:rsidRDefault="00874790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K100002 Groblje </w:t>
            </w:r>
            <w:r w:rsidR="00C0440E" w:rsidRPr="005601F5">
              <w:rPr>
                <w:rFonts w:ascii="Times New Roman" w:hAnsi="Times New Roman" w:cs="Times New Roman"/>
              </w:rPr>
              <w:t xml:space="preserve">i mrtvačnica </w:t>
            </w:r>
            <w:r w:rsidRPr="005601F5">
              <w:rPr>
                <w:rFonts w:ascii="Times New Roman" w:hAnsi="Times New Roman" w:cs="Times New Roman"/>
              </w:rPr>
              <w:t>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Rekonstrukcija nerazvrstanih cesta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na području </w:t>
            </w:r>
            <w:r w:rsidR="00D62DDF">
              <w:rPr>
                <w:rFonts w:ascii="Times New Roman" w:hAnsi="Times New Roman" w:cs="Times New Roman"/>
              </w:rPr>
              <w:t>Općine Starigrad</w:t>
            </w:r>
          </w:p>
          <w:p w:rsidR="005354BA" w:rsidRPr="005601F5" w:rsidRDefault="005354BA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K100013 Projekt uređenja male KI na šumskom području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Pr="005601F5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247"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1.347.133,00 EUR</w:t>
            </w:r>
          </w:p>
          <w:p w:rsidR="008724D4" w:rsidRP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1.2</w:t>
            </w:r>
            <w:r w:rsidR="00F166AB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.457,00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4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741.255,00 EUR</w:t>
            </w:r>
          </w:p>
          <w:p w:rsidR="005F257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="00C0440E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 xml:space="preserve">   789.776,00 EUR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26.545,00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26.540,00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62DDF">
        <w:rPr>
          <w:rFonts w:ascii="Times New Roman" w:hAnsi="Times New Roman" w:cs="Times New Roman"/>
          <w:sz w:val="24"/>
          <w:szCs w:val="24"/>
        </w:rPr>
        <w:t>19.908,00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3E5B3D" w:rsidRPr="005601F5" w:rsidRDefault="003E5B3D" w:rsidP="00D7514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D62DDF">
              <w:rPr>
                <w:rFonts w:ascii="Times New Roman" w:hAnsi="Times New Roman" w:cs="Times New Roman"/>
              </w:rPr>
              <w:t>19.908,00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19.910,00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8459DA">
        <w:rPr>
          <w:rFonts w:ascii="Times New Roman" w:hAnsi="Times New Roman" w:cs="Times New Roman"/>
          <w:sz w:val="24"/>
          <w:szCs w:val="24"/>
        </w:rPr>
        <w:t>19.908,00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8724D4">
        <w:rPr>
          <w:rFonts w:ascii="Times New Roman" w:hAnsi="Times New Roman" w:cs="Times New Roman"/>
          <w:sz w:val="24"/>
          <w:szCs w:val="24"/>
        </w:rPr>
        <w:t xml:space="preserve">Navedena sredstava se povećavaju u iznose </w:t>
      </w:r>
      <w:r w:rsidR="00F166AB">
        <w:rPr>
          <w:rFonts w:ascii="Times New Roman" w:hAnsi="Times New Roman" w:cs="Times New Roman"/>
          <w:sz w:val="24"/>
          <w:szCs w:val="24"/>
        </w:rPr>
        <w:t>49</w:t>
      </w:r>
      <w:r w:rsidR="008724D4">
        <w:rPr>
          <w:rFonts w:ascii="Times New Roman" w:hAnsi="Times New Roman" w:cs="Times New Roman"/>
          <w:sz w:val="24"/>
          <w:szCs w:val="24"/>
        </w:rPr>
        <w:t>.908,00 EUR radi povećanja sredstava za projektne dokumentacije za vodovodnu mrežu.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125/16)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98/19)</w:t>
            </w:r>
          </w:p>
          <w:p w:rsidR="00C0440E" w:rsidRPr="00D62DDF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DF4B74"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19.908,00 EUR</w:t>
            </w:r>
          </w:p>
          <w:p w:rsidR="008724D4" w:rsidRP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 w:rsidR="00F166AB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.908,00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  <w:p w:rsidR="00C0440E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DF4B74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 xml:space="preserve">  6.640,00 EUR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D62DDF">
        <w:rPr>
          <w:rFonts w:ascii="Times New Roman" w:hAnsi="Times New Roman" w:cs="Times New Roman"/>
          <w:sz w:val="24"/>
          <w:szCs w:val="24"/>
        </w:rPr>
        <w:t>15.263,00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Arheološki muzej Zadar i Turističku zajednicu Općine Starigrad. 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5601F5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="00E60E9C"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62DDF">
              <w:rPr>
                <w:rFonts w:ascii="Times New Roman" w:hAnsi="Times New Roman" w:cs="Times New Roman"/>
              </w:rPr>
              <w:t>15.263,00 EUR</w:t>
            </w:r>
          </w:p>
          <w:p w:rsidR="003E5B3D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  <w:p w:rsidR="003E5B3D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15.260,00 EUR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>, te na projekt uređenja igrališta u Selinama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724D4">
        <w:rPr>
          <w:rFonts w:ascii="Times New Roman" w:hAnsi="Times New Roman" w:cs="Times New Roman"/>
          <w:sz w:val="24"/>
          <w:szCs w:val="24"/>
        </w:rPr>
        <w:t>i tu dolazi do povećanja sredstava vezano za projekt uređenja igrališta te sada sredstva iznose 123.418,00 EUR.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E60E9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sportu (NN 71/06, 150/08, 124/10, 124/11, 86/12, 94/13, 85/15, 19/16, 98/19</w:t>
            </w:r>
            <w:r w:rsidR="00180DC0" w:rsidRPr="005601F5">
              <w:rPr>
                <w:rFonts w:ascii="Times New Roman" w:hAnsi="Times New Roman" w:cs="Times New Roman"/>
              </w:rPr>
              <w:t>, 47/20, 77/20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1902D9" w:rsidRPr="005601F5" w:rsidRDefault="001902D9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="00E60E9C"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62DDF">
              <w:rPr>
                <w:rFonts w:ascii="Times New Roman" w:hAnsi="Times New Roman" w:cs="Times New Roman"/>
              </w:rPr>
              <w:t>3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104.188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8724D4" w:rsidRPr="008724D4" w:rsidRDefault="008724D4" w:rsidP="008724D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123.418,00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E60E9C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  <w:p w:rsidR="00E60E9C" w:rsidRPr="005601F5" w:rsidRDefault="00D62DDF" w:rsidP="00D62DD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17.920,00 EUR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43.268,00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6E169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6E1699">
              <w:rPr>
                <w:rFonts w:ascii="Times New Roman" w:hAnsi="Times New Roman" w:cs="Times New Roman"/>
              </w:rPr>
              <w:t>2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6E1699">
              <w:rPr>
                <w:rFonts w:ascii="Times New Roman" w:hAnsi="Times New Roman" w:cs="Times New Roman"/>
              </w:rPr>
              <w:t>23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8629AC"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43.268,00 EUR</w:t>
            </w:r>
          </w:p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  <w:p w:rsidR="008629AC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43.340,00 EUR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</w:t>
      </w:r>
      <w:r w:rsidR="00465161">
        <w:rPr>
          <w:rFonts w:ascii="Times New Roman" w:hAnsi="Times New Roman" w:cs="Times New Roman"/>
          <w:sz w:val="24"/>
          <w:szCs w:val="24"/>
        </w:rPr>
        <w:t>koji njihovim izmjenama i dopunama financijskog plana iznosi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65161">
        <w:rPr>
          <w:rFonts w:ascii="Times New Roman" w:hAnsi="Times New Roman" w:cs="Times New Roman"/>
          <w:sz w:val="24"/>
          <w:szCs w:val="24"/>
        </w:rPr>
        <w:t>232.495,00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465161">
        <w:rPr>
          <w:rFonts w:ascii="Times New Roman" w:hAnsi="Times New Roman" w:cs="Times New Roman"/>
          <w:sz w:val="24"/>
          <w:szCs w:val="24"/>
        </w:rPr>
        <w:t>201.224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246B8C">
        <w:trPr>
          <w:trHeight w:val="147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BA7361" w:rsidRPr="005601F5">
              <w:rPr>
                <w:rFonts w:ascii="Times New Roman" w:hAnsi="Times New Roman" w:cs="Times New Roman"/>
              </w:rPr>
              <w:t xml:space="preserve">Sufinancirati djelatnost </w:t>
            </w:r>
            <w:r w:rsidR="00BA7361" w:rsidRPr="005601F5">
              <w:rPr>
                <w:rFonts w:ascii="Times New Roman" w:hAnsi="Times New Roman" w:cs="Times New Roman"/>
              </w:rPr>
              <w:lastRenderedPageBreak/>
              <w:t>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217.002,00 EUR</w:t>
            </w:r>
          </w:p>
          <w:p w:rsidR="00465161" w:rsidRPr="00465161" w:rsidRDefault="00465161" w:rsidP="0046516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EC0D1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EC0D16">
              <w:rPr>
                <w:rFonts w:ascii="Times New Roman" w:hAnsi="Times New Roman" w:cs="Times New Roman"/>
              </w:rPr>
              <w:t xml:space="preserve">. izmjene i dopune 2023. godina = </w:t>
            </w:r>
            <w:r>
              <w:rPr>
                <w:rFonts w:ascii="Times New Roman" w:hAnsi="Times New Roman" w:cs="Times New Roman"/>
              </w:rPr>
              <w:t>232.495,00</w:t>
            </w:r>
            <w:r w:rsidRPr="00EC0D16">
              <w:rPr>
                <w:rFonts w:ascii="Times New Roman" w:hAnsi="Times New Roman" w:cs="Times New Roman"/>
              </w:rPr>
              <w:t xml:space="preserve">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217.002,00 EUR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EC0D16" w:rsidRDefault="00EC0D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459DA" w:rsidRPr="008459DA">
        <w:rPr>
          <w:rFonts w:ascii="Times New Roman" w:hAnsi="Times New Roman" w:cs="Times New Roman"/>
          <w:sz w:val="24"/>
          <w:szCs w:val="24"/>
        </w:rPr>
        <w:t>60.390,00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te sufinanciranje prijevoza  vode. </w:t>
      </w:r>
    </w:p>
    <w:p w:rsidR="00EC0D16" w:rsidRPr="005601F5" w:rsidRDefault="00EC0D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>
              <w:rPr>
                <w:rFonts w:ascii="Times New Roman" w:hAnsi="Times New Roman" w:cs="Times New Roman"/>
              </w:rPr>
              <w:t>18/22, 46/22, 119/22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i izmjene odluke o sufinanciranju prijevoza vode </w:t>
            </w:r>
            <w:r w:rsidR="002A2378" w:rsidRPr="005601F5">
              <w:rPr>
                <w:rFonts w:ascii="Times New Roman" w:hAnsi="Times New Roman" w:cs="Times New Roman"/>
              </w:rPr>
              <w:t>na području Općine Starigrad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Pr="005601F5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:rsidR="00BA7361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="00BA7361"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60.390,00 EUR</w:t>
            </w:r>
          </w:p>
          <w:p w:rsidR="00BA7361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  <w:p w:rsidR="00BA7361" w:rsidRPr="005601F5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60.380,00 EUR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7.963,00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="006E1699">
              <w:rPr>
                <w:rFonts w:ascii="Times New Roman" w:hAnsi="Times New Roman" w:cs="Times New Roman"/>
              </w:rPr>
              <w:t>, 119/22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</w:t>
            </w:r>
            <w:r w:rsidRPr="00180057">
              <w:rPr>
                <w:rFonts w:ascii="Times New Roman" w:hAnsi="Times New Roman" w:cs="Times New Roman"/>
              </w:rPr>
              <w:lastRenderedPageBreak/>
              <w:t xml:space="preserve">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lastRenderedPageBreak/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:rsidR="00730C2F" w:rsidRPr="00180057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C32676"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7.963,00 EUR</w:t>
            </w:r>
          </w:p>
          <w:p w:rsidR="00730C2F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  <w:p w:rsidR="00730C2F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7.960,00 EUR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3.982,00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6E1699">
              <w:rPr>
                <w:rFonts w:ascii="Times New Roman" w:hAnsi="Times New Roman" w:cs="Times New Roman"/>
              </w:rPr>
              <w:t>3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3.982,00 EUR</w:t>
            </w:r>
          </w:p>
          <w:p w:rsidR="00C32676" w:rsidRPr="00180057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  <w:p w:rsidR="00C32676" w:rsidRPr="00180057" w:rsidRDefault="006E1699" w:rsidP="006E169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3.980,00 EUR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14422"/>
    <w:rsid w:val="000256EB"/>
    <w:rsid w:val="00026654"/>
    <w:rsid w:val="000276DD"/>
    <w:rsid w:val="00036D59"/>
    <w:rsid w:val="000413F1"/>
    <w:rsid w:val="00056F02"/>
    <w:rsid w:val="00063DDA"/>
    <w:rsid w:val="00070835"/>
    <w:rsid w:val="00086915"/>
    <w:rsid w:val="000B55C8"/>
    <w:rsid w:val="000D5D49"/>
    <w:rsid w:val="000E4156"/>
    <w:rsid w:val="000F332F"/>
    <w:rsid w:val="00105A11"/>
    <w:rsid w:val="001077ED"/>
    <w:rsid w:val="00112256"/>
    <w:rsid w:val="001266FC"/>
    <w:rsid w:val="00127341"/>
    <w:rsid w:val="001313C6"/>
    <w:rsid w:val="001426AF"/>
    <w:rsid w:val="00151FA6"/>
    <w:rsid w:val="00161F09"/>
    <w:rsid w:val="00163567"/>
    <w:rsid w:val="001746D9"/>
    <w:rsid w:val="00180057"/>
    <w:rsid w:val="00180DC0"/>
    <w:rsid w:val="00181247"/>
    <w:rsid w:val="00181858"/>
    <w:rsid w:val="001837B7"/>
    <w:rsid w:val="001902D9"/>
    <w:rsid w:val="001A6CCB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12F4D"/>
    <w:rsid w:val="00222378"/>
    <w:rsid w:val="00223C96"/>
    <w:rsid w:val="00233CEA"/>
    <w:rsid w:val="0023488F"/>
    <w:rsid w:val="00246B8C"/>
    <w:rsid w:val="002536DF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0906"/>
    <w:rsid w:val="002E297A"/>
    <w:rsid w:val="002E78E9"/>
    <w:rsid w:val="002F49CA"/>
    <w:rsid w:val="002F75B0"/>
    <w:rsid w:val="00301C9D"/>
    <w:rsid w:val="00312DD7"/>
    <w:rsid w:val="0031726E"/>
    <w:rsid w:val="003173B6"/>
    <w:rsid w:val="00330E1A"/>
    <w:rsid w:val="00332F49"/>
    <w:rsid w:val="00336A02"/>
    <w:rsid w:val="003401AD"/>
    <w:rsid w:val="00341215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A3EA4"/>
    <w:rsid w:val="003B0C75"/>
    <w:rsid w:val="003B22C3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65161"/>
    <w:rsid w:val="0047401C"/>
    <w:rsid w:val="004756BE"/>
    <w:rsid w:val="004872B7"/>
    <w:rsid w:val="004916AF"/>
    <w:rsid w:val="004C04DE"/>
    <w:rsid w:val="004C0FF8"/>
    <w:rsid w:val="004C642C"/>
    <w:rsid w:val="004C70C8"/>
    <w:rsid w:val="004D3265"/>
    <w:rsid w:val="004E2AD7"/>
    <w:rsid w:val="004E572D"/>
    <w:rsid w:val="004E5D88"/>
    <w:rsid w:val="004E7699"/>
    <w:rsid w:val="004F03B0"/>
    <w:rsid w:val="004F7510"/>
    <w:rsid w:val="00502EAC"/>
    <w:rsid w:val="00504A02"/>
    <w:rsid w:val="005073E0"/>
    <w:rsid w:val="005078C4"/>
    <w:rsid w:val="005158AB"/>
    <w:rsid w:val="005206EF"/>
    <w:rsid w:val="00531272"/>
    <w:rsid w:val="005354BA"/>
    <w:rsid w:val="00537AA1"/>
    <w:rsid w:val="005423A0"/>
    <w:rsid w:val="005423ED"/>
    <w:rsid w:val="005431CD"/>
    <w:rsid w:val="0054463F"/>
    <w:rsid w:val="00546409"/>
    <w:rsid w:val="00547F9F"/>
    <w:rsid w:val="005563FA"/>
    <w:rsid w:val="005601F5"/>
    <w:rsid w:val="0056331C"/>
    <w:rsid w:val="00570A15"/>
    <w:rsid w:val="00581D4C"/>
    <w:rsid w:val="00582A2D"/>
    <w:rsid w:val="005A2863"/>
    <w:rsid w:val="005A3DFC"/>
    <w:rsid w:val="005B4573"/>
    <w:rsid w:val="005C1052"/>
    <w:rsid w:val="005D6E85"/>
    <w:rsid w:val="005E5140"/>
    <w:rsid w:val="005E56A1"/>
    <w:rsid w:val="005F257C"/>
    <w:rsid w:val="005F6A2A"/>
    <w:rsid w:val="005F6ABD"/>
    <w:rsid w:val="00600E90"/>
    <w:rsid w:val="00620A77"/>
    <w:rsid w:val="0064064E"/>
    <w:rsid w:val="00653A85"/>
    <w:rsid w:val="0068002E"/>
    <w:rsid w:val="00682562"/>
    <w:rsid w:val="00684E34"/>
    <w:rsid w:val="006878C6"/>
    <w:rsid w:val="006C4E28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063BC"/>
    <w:rsid w:val="00710C52"/>
    <w:rsid w:val="00722287"/>
    <w:rsid w:val="00730C2F"/>
    <w:rsid w:val="00736801"/>
    <w:rsid w:val="00746830"/>
    <w:rsid w:val="007510CD"/>
    <w:rsid w:val="00760F94"/>
    <w:rsid w:val="00762141"/>
    <w:rsid w:val="0076580C"/>
    <w:rsid w:val="00766F9E"/>
    <w:rsid w:val="00792301"/>
    <w:rsid w:val="00796E71"/>
    <w:rsid w:val="007B1CBF"/>
    <w:rsid w:val="007D29D2"/>
    <w:rsid w:val="0080449E"/>
    <w:rsid w:val="008179AE"/>
    <w:rsid w:val="00817B10"/>
    <w:rsid w:val="00831B00"/>
    <w:rsid w:val="008345EE"/>
    <w:rsid w:val="008459DA"/>
    <w:rsid w:val="0085047A"/>
    <w:rsid w:val="00857B9A"/>
    <w:rsid w:val="008629AC"/>
    <w:rsid w:val="00866996"/>
    <w:rsid w:val="00867E91"/>
    <w:rsid w:val="008724D4"/>
    <w:rsid w:val="00874790"/>
    <w:rsid w:val="00883DBB"/>
    <w:rsid w:val="008A3B89"/>
    <w:rsid w:val="008B5291"/>
    <w:rsid w:val="008C5F3F"/>
    <w:rsid w:val="008D36C2"/>
    <w:rsid w:val="008D71CF"/>
    <w:rsid w:val="008E074D"/>
    <w:rsid w:val="008E4D45"/>
    <w:rsid w:val="008F0B75"/>
    <w:rsid w:val="00903623"/>
    <w:rsid w:val="00906238"/>
    <w:rsid w:val="009322BE"/>
    <w:rsid w:val="00933516"/>
    <w:rsid w:val="00945AEB"/>
    <w:rsid w:val="009707D4"/>
    <w:rsid w:val="00987112"/>
    <w:rsid w:val="009874B8"/>
    <w:rsid w:val="00990DD1"/>
    <w:rsid w:val="00993B4B"/>
    <w:rsid w:val="00993D89"/>
    <w:rsid w:val="009A7F3D"/>
    <w:rsid w:val="009B3D50"/>
    <w:rsid w:val="009B7B44"/>
    <w:rsid w:val="009C11FA"/>
    <w:rsid w:val="009D488B"/>
    <w:rsid w:val="009D7068"/>
    <w:rsid w:val="009E0A72"/>
    <w:rsid w:val="009E552C"/>
    <w:rsid w:val="00A05F47"/>
    <w:rsid w:val="00A10A0C"/>
    <w:rsid w:val="00A117EA"/>
    <w:rsid w:val="00A12B36"/>
    <w:rsid w:val="00A27C57"/>
    <w:rsid w:val="00A351E2"/>
    <w:rsid w:val="00A36D8F"/>
    <w:rsid w:val="00A43AF7"/>
    <w:rsid w:val="00A5348C"/>
    <w:rsid w:val="00A53F53"/>
    <w:rsid w:val="00A66112"/>
    <w:rsid w:val="00A704DC"/>
    <w:rsid w:val="00A72123"/>
    <w:rsid w:val="00A726BA"/>
    <w:rsid w:val="00A77E55"/>
    <w:rsid w:val="00A80911"/>
    <w:rsid w:val="00A80D94"/>
    <w:rsid w:val="00A8519D"/>
    <w:rsid w:val="00A87CB4"/>
    <w:rsid w:val="00A911D8"/>
    <w:rsid w:val="00A9630F"/>
    <w:rsid w:val="00A9653E"/>
    <w:rsid w:val="00AA3BFE"/>
    <w:rsid w:val="00AB0A71"/>
    <w:rsid w:val="00AC0624"/>
    <w:rsid w:val="00AC0671"/>
    <w:rsid w:val="00AC1DD2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AF7DC9"/>
    <w:rsid w:val="00B01955"/>
    <w:rsid w:val="00B03D22"/>
    <w:rsid w:val="00B05F1C"/>
    <w:rsid w:val="00B2248C"/>
    <w:rsid w:val="00B23A5C"/>
    <w:rsid w:val="00B261C4"/>
    <w:rsid w:val="00B32378"/>
    <w:rsid w:val="00B526FC"/>
    <w:rsid w:val="00B5290A"/>
    <w:rsid w:val="00B6117A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59B6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3EB2"/>
    <w:rsid w:val="00C85475"/>
    <w:rsid w:val="00C903C3"/>
    <w:rsid w:val="00C97503"/>
    <w:rsid w:val="00CA3901"/>
    <w:rsid w:val="00CA7963"/>
    <w:rsid w:val="00CB1916"/>
    <w:rsid w:val="00CB6F93"/>
    <w:rsid w:val="00CD6552"/>
    <w:rsid w:val="00CD75AF"/>
    <w:rsid w:val="00CD7C22"/>
    <w:rsid w:val="00CF36EB"/>
    <w:rsid w:val="00CF39CA"/>
    <w:rsid w:val="00CF7998"/>
    <w:rsid w:val="00D02DC8"/>
    <w:rsid w:val="00D11DC1"/>
    <w:rsid w:val="00D14C50"/>
    <w:rsid w:val="00D243DC"/>
    <w:rsid w:val="00D24C8F"/>
    <w:rsid w:val="00D26864"/>
    <w:rsid w:val="00D37ED6"/>
    <w:rsid w:val="00D6016F"/>
    <w:rsid w:val="00D60F0F"/>
    <w:rsid w:val="00D6189A"/>
    <w:rsid w:val="00D62302"/>
    <w:rsid w:val="00D62DDF"/>
    <w:rsid w:val="00D677D0"/>
    <w:rsid w:val="00D73FFE"/>
    <w:rsid w:val="00D7514E"/>
    <w:rsid w:val="00D80A89"/>
    <w:rsid w:val="00D8103B"/>
    <w:rsid w:val="00D928AA"/>
    <w:rsid w:val="00D94ADA"/>
    <w:rsid w:val="00D950D5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4B74"/>
    <w:rsid w:val="00E03C71"/>
    <w:rsid w:val="00E069E0"/>
    <w:rsid w:val="00E1102E"/>
    <w:rsid w:val="00E110EE"/>
    <w:rsid w:val="00E12163"/>
    <w:rsid w:val="00E24BF6"/>
    <w:rsid w:val="00E31545"/>
    <w:rsid w:val="00E34285"/>
    <w:rsid w:val="00E370FF"/>
    <w:rsid w:val="00E44CB9"/>
    <w:rsid w:val="00E60E9C"/>
    <w:rsid w:val="00E6233C"/>
    <w:rsid w:val="00E67C2E"/>
    <w:rsid w:val="00E7080D"/>
    <w:rsid w:val="00EA4560"/>
    <w:rsid w:val="00EB35B1"/>
    <w:rsid w:val="00EB6234"/>
    <w:rsid w:val="00EC0C09"/>
    <w:rsid w:val="00EC0D16"/>
    <w:rsid w:val="00EC1A93"/>
    <w:rsid w:val="00ED1638"/>
    <w:rsid w:val="00ED29D1"/>
    <w:rsid w:val="00ED620B"/>
    <w:rsid w:val="00ED7995"/>
    <w:rsid w:val="00EE0145"/>
    <w:rsid w:val="00EF3EC3"/>
    <w:rsid w:val="00F019A8"/>
    <w:rsid w:val="00F07A85"/>
    <w:rsid w:val="00F13EE3"/>
    <w:rsid w:val="00F166AB"/>
    <w:rsid w:val="00F27C3B"/>
    <w:rsid w:val="00F343FC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81324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C9F1-83B1-47E7-87C4-8ED4F4E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4358</TotalTime>
  <Pages>25</Pages>
  <Words>10979</Words>
  <Characters>62582</Characters>
  <Application>Microsoft Office Word</Application>
  <DocSecurity>0</DocSecurity>
  <Lines>521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243</cp:revision>
  <cp:lastPrinted>2022-11-11T09:15:00Z</cp:lastPrinted>
  <dcterms:created xsi:type="dcterms:W3CDTF">2016-10-27T05:54:00Z</dcterms:created>
  <dcterms:modified xsi:type="dcterms:W3CDTF">2023-05-22T10:22:00Z</dcterms:modified>
</cp:coreProperties>
</file>