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BDE2" w14:textId="29D8B52A" w:rsidR="00D10139" w:rsidRPr="00D10139" w:rsidRDefault="00D10139" w:rsidP="00D1013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D10139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</w:t>
      </w:r>
      <w:r w:rsidRPr="00D10139">
        <w:rPr>
          <w:rFonts w:ascii="Times New Roman" w:eastAsia="Times New Roman" w:hAnsi="Times New Roman" w:cs="Times New Roman"/>
          <w:noProof/>
          <w:sz w:val="20"/>
          <w:szCs w:val="20"/>
          <w:lang w:val="en-GB" w:eastAsia="hr-HR"/>
        </w:rPr>
        <w:drawing>
          <wp:inline distT="0" distB="0" distL="0" distR="0" wp14:anchorId="3E6F7DE0" wp14:editId="0530527A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D7A30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7E5583A3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31A7FC53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</w:t>
      </w:r>
    </w:p>
    <w:p w14:paraId="1487DC97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Općinsko vijeće</w:t>
      </w:r>
    </w:p>
    <w:p w14:paraId="3B263791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2E7DAF" w14:textId="79AAD17D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46986B68" w14:textId="2933A252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605D3D89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0E98EB" w14:textId="5DA71121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 w:rsidR="004E3A8C">
        <w:rPr>
          <w:rFonts w:ascii="Times New Roman" w:eastAsia="Times New Roman" w:hAnsi="Times New Roman" w:cs="Times New Roman"/>
          <w:sz w:val="24"/>
          <w:szCs w:val="24"/>
          <w:lang w:eastAsia="hr-HR"/>
        </w:rPr>
        <w:t>__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4E3A8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4E3A8C"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6F0D5BA4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818E8C" w14:textId="46524BF6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članka 35. Zakona o lokalnoj i područnoj (regionalnoj) samoupravi („Narodne novine“, br. 33/01, 129/05, 109/07, 125/08, 36/09, 150/11, 144/12, 19/13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137/15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123/17, 98/19 i 144/20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), i članka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Starigrad ("Službeni glasnik Zadarske županije" broj: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3/18, 8/18, 3/20 i 3/21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 Općinsko vijeće Općine Starigrad, na svojoj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dana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godine, donijelo je </w:t>
      </w:r>
    </w:p>
    <w:p w14:paraId="7B468751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C2355F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865C99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719B2050" w14:textId="703FA7BA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radovima na uređenju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Središnjeg obalnog pojasa naselja Starigrad Paklenica</w:t>
      </w:r>
    </w:p>
    <w:p w14:paraId="673388E2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172EA0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6498DF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6949A0AA" w14:textId="2676BCBA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Općina Starigrad pristupa radovima na uređenju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Središnjeg obalnog pojasa u naselju Starigrad Paklenica – podfaza 1.</w:t>
      </w:r>
    </w:p>
    <w:p w14:paraId="48A58B20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D71DA6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049926AD" w14:textId="6C094CA3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Procijenjena vrijednost radova iznosi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00212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00.000,00 kn  (bez PDV-a).</w:t>
      </w:r>
    </w:p>
    <w:p w14:paraId="026D6543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D26779" w14:textId="77777777" w:rsidR="00D10139" w:rsidRPr="00D10139" w:rsidRDefault="00D10139" w:rsidP="00D10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57D86646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Općinski načelnik i stručne službe Jedinstvenog upravnog odjela za provođenje postupka javne nabave sukladno odredbama Zakona o javnoj nabavi.</w:t>
      </w:r>
    </w:p>
    <w:p w14:paraId="23D869B1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5B721C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35689A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0EFA99EA" w14:textId="76EE6A8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Predsjednik</w:t>
      </w:r>
    </w:p>
    <w:p w14:paraId="3EEF61CD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87CD5E" w14:textId="3379B7B4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1013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4E3A8C">
        <w:rPr>
          <w:rFonts w:ascii="Times New Roman" w:eastAsia="Times New Roman" w:hAnsi="Times New Roman" w:cs="Times New Roman"/>
          <w:sz w:val="24"/>
          <w:szCs w:val="24"/>
          <w:lang w:eastAsia="hr-HR"/>
        </w:rPr>
        <w:t>Marko Marasović, dipl. ing. građ.</w:t>
      </w:r>
    </w:p>
    <w:p w14:paraId="74DE4518" w14:textId="77777777" w:rsidR="00D10139" w:rsidRPr="00D10139" w:rsidRDefault="00D10139" w:rsidP="00D10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0DA189" w14:textId="77777777" w:rsidR="00D10139" w:rsidRPr="00D10139" w:rsidRDefault="00D10139" w:rsidP="00D10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C19DF16" w14:textId="77777777" w:rsidR="0095538B" w:rsidRDefault="0095538B"/>
    <w:sectPr w:rsidR="00955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39"/>
    <w:rsid w:val="00002121"/>
    <w:rsid w:val="00267C87"/>
    <w:rsid w:val="004E3A8C"/>
    <w:rsid w:val="0093772F"/>
    <w:rsid w:val="0095538B"/>
    <w:rsid w:val="00C03B34"/>
    <w:rsid w:val="00D1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F539"/>
  <w15:chartTrackingRefBased/>
  <w15:docId w15:val="{FFA09D1C-2511-4202-9ED3-5B262514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1</cp:revision>
  <cp:lastPrinted>2022-02-24T08:16:00Z</cp:lastPrinted>
  <dcterms:created xsi:type="dcterms:W3CDTF">2022-02-24T06:52:00Z</dcterms:created>
  <dcterms:modified xsi:type="dcterms:W3CDTF">2022-02-24T08:17:00Z</dcterms:modified>
</cp:coreProperties>
</file>