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5601F5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brazloženje proračuna Općine Starigrad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:rsidR="00B526FC" w:rsidRPr="005601F5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FA621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3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FA621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4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FA621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5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B526FC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 skladu s od</w:t>
      </w:r>
      <w:r w:rsidR="00F56600" w:rsidRPr="005601F5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A6212">
        <w:rPr>
          <w:rFonts w:ascii="Times New Roman" w:hAnsi="Times New Roman" w:cs="Times New Roman"/>
          <w:sz w:val="24"/>
          <w:szCs w:val="24"/>
        </w:rPr>
        <w:t>144/21</w:t>
      </w:r>
      <w:r w:rsidRPr="005601F5">
        <w:rPr>
          <w:rFonts w:ascii="Times New Roman" w:hAnsi="Times New Roman" w:cs="Times New Roman"/>
          <w:sz w:val="24"/>
          <w:szCs w:val="24"/>
        </w:rPr>
        <w:t xml:space="preserve">), Pravilnika o </w:t>
      </w:r>
      <w:r w:rsidR="00F56600" w:rsidRPr="005601F5">
        <w:rPr>
          <w:rFonts w:ascii="Times New Roman" w:hAnsi="Times New Roman" w:cs="Times New Roman"/>
          <w:sz w:val="24"/>
          <w:szCs w:val="24"/>
        </w:rPr>
        <w:t>proračunskim klasifikacijama (NN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26/10, </w:t>
      </w:r>
      <w:r w:rsidRPr="005601F5">
        <w:rPr>
          <w:rFonts w:ascii="Times New Roman" w:hAnsi="Times New Roman" w:cs="Times New Roman"/>
          <w:sz w:val="24"/>
          <w:szCs w:val="24"/>
        </w:rPr>
        <w:t>120/13</w:t>
      </w:r>
      <w:r w:rsidR="00600E90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1/20</w:t>
      </w:r>
      <w:r w:rsidRPr="005601F5">
        <w:rPr>
          <w:rFonts w:ascii="Times New Roman" w:hAnsi="Times New Roman" w:cs="Times New Roman"/>
          <w:sz w:val="24"/>
          <w:szCs w:val="24"/>
        </w:rPr>
        <w:t>), te Pravilnika o proračunskom rač</w:t>
      </w:r>
      <w:r w:rsidR="00F56600" w:rsidRPr="005601F5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124/14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, 115/15, </w:t>
      </w:r>
      <w:r w:rsidR="00993D89" w:rsidRPr="005601F5">
        <w:rPr>
          <w:rFonts w:ascii="Times New Roman" w:hAnsi="Times New Roman" w:cs="Times New Roman"/>
          <w:sz w:val="24"/>
          <w:szCs w:val="24"/>
        </w:rPr>
        <w:t>87/16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, 3/18, </w:t>
      </w:r>
      <w:r w:rsidR="006F4AD7" w:rsidRPr="005601F5">
        <w:rPr>
          <w:rFonts w:ascii="Times New Roman" w:hAnsi="Times New Roman" w:cs="Times New Roman"/>
          <w:sz w:val="24"/>
          <w:szCs w:val="24"/>
        </w:rPr>
        <w:t>126/19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i 108/20</w:t>
      </w:r>
      <w:r w:rsidRPr="005601F5">
        <w:rPr>
          <w:rFonts w:ascii="Times New Roman" w:hAnsi="Times New Roman" w:cs="Times New Roman"/>
          <w:sz w:val="24"/>
          <w:szCs w:val="24"/>
        </w:rPr>
        <w:t xml:space="preserve">) </w:t>
      </w:r>
      <w:r w:rsidR="00993D89" w:rsidRPr="005601F5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 w:rsidRPr="005601F5">
        <w:rPr>
          <w:rFonts w:ascii="Times New Roman" w:hAnsi="Times New Roman" w:cs="Times New Roman"/>
          <w:sz w:val="24"/>
          <w:szCs w:val="24"/>
        </w:rPr>
        <w:t>2</w:t>
      </w:r>
      <w:r w:rsidR="00FA6212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>. godinu</w:t>
      </w:r>
      <w:r w:rsidR="00C26127" w:rsidRPr="005601F5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 w:rsidRPr="005601F5">
        <w:rPr>
          <w:rFonts w:ascii="Times New Roman" w:hAnsi="Times New Roman" w:cs="Times New Roman"/>
          <w:sz w:val="24"/>
          <w:szCs w:val="24"/>
        </w:rPr>
        <w:t>2</w:t>
      </w:r>
      <w:r w:rsidR="00FA6212">
        <w:rPr>
          <w:rFonts w:ascii="Times New Roman" w:hAnsi="Times New Roman" w:cs="Times New Roman"/>
          <w:sz w:val="24"/>
          <w:szCs w:val="24"/>
        </w:rPr>
        <w:t>4</w:t>
      </w:r>
      <w:r w:rsidR="00993D89" w:rsidRPr="005601F5">
        <w:rPr>
          <w:rFonts w:ascii="Times New Roman" w:hAnsi="Times New Roman" w:cs="Times New Roman"/>
          <w:sz w:val="24"/>
          <w:szCs w:val="24"/>
        </w:rPr>
        <w:t>. i 202</w:t>
      </w:r>
      <w:r w:rsidR="00C7496C">
        <w:rPr>
          <w:rFonts w:ascii="Times New Roman" w:hAnsi="Times New Roman" w:cs="Times New Roman"/>
          <w:sz w:val="24"/>
          <w:szCs w:val="24"/>
        </w:rPr>
        <w:t>5</w:t>
      </w:r>
      <w:r w:rsidR="00C26127" w:rsidRPr="005601F5">
        <w:rPr>
          <w:rFonts w:ascii="Times New Roman" w:hAnsi="Times New Roman" w:cs="Times New Roman"/>
          <w:sz w:val="24"/>
          <w:szCs w:val="24"/>
        </w:rPr>
        <w:t>. godinu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526FC" w:rsidRPr="00C7496C" w:rsidRDefault="00A72123" w:rsidP="00C7496C">
      <w:pPr>
        <w:jc w:val="both"/>
        <w:rPr>
          <w:rFonts w:ascii="CIDFont+F3" w:hAnsi="CIDFont+F3"/>
          <w:sz w:val="24"/>
        </w:rPr>
      </w:pPr>
      <w:r w:rsidRPr="005601F5">
        <w:rPr>
          <w:rFonts w:ascii="CIDFont+F3" w:hAnsi="CIDFont+F3"/>
          <w:sz w:val="24"/>
        </w:rPr>
        <w:t>Prema proračunskom kalendaru, Vlada Republike Hrvatske donosi i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usvaja akte na temelju kojih Ministarstvo financija sastavlja upute za izradu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 xml:space="preserve">proračuna i proračuna jedinica lokalne i područne (regionalne) samouprave. </w:t>
      </w:r>
      <w:r w:rsidR="00C7496C" w:rsidRPr="00C7496C">
        <w:rPr>
          <w:rFonts w:ascii="CIDFont+F3" w:hAnsi="CIDFont+F3"/>
          <w:sz w:val="24"/>
        </w:rPr>
        <w:t>Ministarstvo financija je izradilo prijedlog, a Vlada usvojila Program konvergencije Republike</w:t>
      </w:r>
      <w:r w:rsidR="00C7496C">
        <w:rPr>
          <w:rFonts w:ascii="CIDFont+F3" w:hAnsi="CIDFont+F3"/>
          <w:sz w:val="24"/>
        </w:rPr>
        <w:t xml:space="preserve"> </w:t>
      </w:r>
      <w:r w:rsidR="00C7496C" w:rsidRPr="00C7496C">
        <w:rPr>
          <w:rFonts w:ascii="CIDFont+F3" w:hAnsi="CIDFont+F3"/>
          <w:sz w:val="24"/>
        </w:rPr>
        <w:t>Hrvatske za razdoblje 2023. – 2025. u travnju 2022.</w:t>
      </w:r>
      <w:r w:rsidR="00C7496C">
        <w:rPr>
          <w:rFonts w:ascii="CIDFont+F3" w:hAnsi="CIDFont+F3"/>
          <w:sz w:val="24"/>
        </w:rPr>
        <w:t xml:space="preserve"> </w:t>
      </w:r>
      <w:r w:rsidR="00C7496C" w:rsidRPr="00C7496C">
        <w:rPr>
          <w:rFonts w:ascii="CIDFont+F3" w:hAnsi="CIDFont+F3"/>
          <w:sz w:val="24"/>
        </w:rPr>
        <w:t>Na temelju Programa konvergencije Vlada je u lipnju 2022. donijela Odluku o proračunskom</w:t>
      </w:r>
      <w:r w:rsidR="00C7496C">
        <w:rPr>
          <w:rFonts w:ascii="CIDFont+F3" w:hAnsi="CIDFont+F3"/>
          <w:sz w:val="24"/>
        </w:rPr>
        <w:t xml:space="preserve"> </w:t>
      </w:r>
      <w:r w:rsidR="00C7496C" w:rsidRPr="00C7496C">
        <w:rPr>
          <w:rFonts w:ascii="CIDFont+F3" w:hAnsi="CIDFont+F3"/>
          <w:sz w:val="24"/>
        </w:rPr>
        <w:t>okviru za razdoblje 2023. – 2025.</w:t>
      </w:r>
      <w:r w:rsidR="00C7496C">
        <w:rPr>
          <w:rFonts w:ascii="CIDFont+F3" w:hAnsi="CIDFont+F3"/>
          <w:sz w:val="24"/>
        </w:rPr>
        <w:t xml:space="preserve"> 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Ministarstvo financija </w:t>
      </w:r>
      <w:r w:rsidR="00010B6A"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Pr="005601F5">
        <w:rPr>
          <w:rFonts w:ascii="Times New Roman" w:hAnsi="Times New Roman" w:cs="Times New Roman"/>
          <w:sz w:val="24"/>
          <w:szCs w:val="24"/>
        </w:rPr>
        <w:t>rujnu je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 za razdoblje 20</w:t>
      </w:r>
      <w:r w:rsidR="00010B6A" w:rsidRPr="005601F5">
        <w:rPr>
          <w:rFonts w:ascii="Times New Roman" w:hAnsi="Times New Roman" w:cs="Times New Roman"/>
          <w:sz w:val="24"/>
          <w:szCs w:val="24"/>
        </w:rPr>
        <w:t>2</w:t>
      </w:r>
      <w:r w:rsidR="00C7496C">
        <w:rPr>
          <w:rFonts w:ascii="Times New Roman" w:hAnsi="Times New Roman" w:cs="Times New Roman"/>
          <w:sz w:val="24"/>
          <w:szCs w:val="24"/>
        </w:rPr>
        <w:t>3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C7496C">
        <w:rPr>
          <w:rFonts w:ascii="Times New Roman" w:hAnsi="Times New Roman" w:cs="Times New Roman"/>
          <w:sz w:val="24"/>
          <w:szCs w:val="24"/>
        </w:rPr>
        <w:t>5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. godine.  </w:t>
      </w:r>
      <w:r w:rsidR="00993B4B" w:rsidRPr="005601F5">
        <w:rPr>
          <w:rFonts w:ascii="Times New Roman" w:hAnsi="Times New Roman" w:cs="Times New Roman"/>
          <w:sz w:val="24"/>
          <w:szCs w:val="24"/>
        </w:rPr>
        <w:t>Odsjek za financije, gospodarstvo, plan i proračun nakon primitka navedenih Uputa izrađuje Upute za izradu proračuna Op</w:t>
      </w:r>
      <w:r w:rsidR="006F4AD7" w:rsidRPr="005601F5">
        <w:rPr>
          <w:rFonts w:ascii="Times New Roman" w:hAnsi="Times New Roman" w:cs="Times New Roman"/>
          <w:sz w:val="24"/>
          <w:szCs w:val="24"/>
        </w:rPr>
        <w:t>ćine Starigrad za razdoblje 202</w:t>
      </w:r>
      <w:r w:rsidR="00C7496C">
        <w:rPr>
          <w:rFonts w:ascii="Times New Roman" w:hAnsi="Times New Roman" w:cs="Times New Roman"/>
          <w:sz w:val="24"/>
          <w:szCs w:val="24"/>
        </w:rPr>
        <w:t>3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C7496C">
        <w:rPr>
          <w:rFonts w:ascii="Times New Roman" w:hAnsi="Times New Roman" w:cs="Times New Roman"/>
          <w:sz w:val="24"/>
          <w:szCs w:val="24"/>
        </w:rPr>
        <w:t>5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:rsidR="00F27C3B" w:rsidRDefault="00736801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</w:t>
      </w:r>
      <w:r w:rsidR="00F27C3B">
        <w:rPr>
          <w:rFonts w:ascii="Times New Roman" w:hAnsi="Times New Roman" w:cs="Times New Roman"/>
          <w:sz w:val="24"/>
          <w:szCs w:val="24"/>
        </w:rPr>
        <w:t xml:space="preserve">će donosi proračun na razini </w:t>
      </w:r>
      <w:r w:rsidRPr="005601F5">
        <w:rPr>
          <w:rFonts w:ascii="Times New Roman" w:hAnsi="Times New Roman" w:cs="Times New Roman"/>
          <w:sz w:val="24"/>
          <w:szCs w:val="24"/>
        </w:rPr>
        <w:t xml:space="preserve">skupine ekonomske klasifikacije </w:t>
      </w:r>
      <w:r w:rsidR="00F27C3B">
        <w:rPr>
          <w:rFonts w:ascii="Times New Roman" w:hAnsi="Times New Roman" w:cs="Times New Roman"/>
          <w:sz w:val="24"/>
          <w:szCs w:val="24"/>
        </w:rPr>
        <w:t>do kraja tekuće godine.</w:t>
      </w:r>
      <w:r w:rsidR="00F27C3B" w:rsidRPr="00F27C3B">
        <w:t xml:space="preserve"> </w:t>
      </w:r>
      <w:r w:rsidR="00F27C3B" w:rsidRPr="00F27C3B">
        <w:rPr>
          <w:rFonts w:ascii="Times New Roman" w:hAnsi="Times New Roman" w:cs="Times New Roman"/>
          <w:sz w:val="24"/>
          <w:szCs w:val="24"/>
        </w:rPr>
        <w:t>Navedeno je novost u ovom proračunskom ciklusu i razlika od prethodnih godina, kada se plan</w:t>
      </w:r>
      <w:r w:rsidR="00F27C3B">
        <w:rPr>
          <w:rFonts w:ascii="Times New Roman" w:hAnsi="Times New Roman" w:cs="Times New Roman"/>
          <w:sz w:val="24"/>
          <w:szCs w:val="24"/>
        </w:rPr>
        <w:t xml:space="preserve"> </w:t>
      </w:r>
      <w:r w:rsidR="00F27C3B" w:rsidRPr="00F27C3B">
        <w:rPr>
          <w:rFonts w:ascii="Times New Roman" w:hAnsi="Times New Roman" w:cs="Times New Roman"/>
          <w:sz w:val="24"/>
          <w:szCs w:val="24"/>
        </w:rPr>
        <w:t>za proračunsku godinu iskazivao na razini podskupine ekonomske klasifikacije, a projekcije na</w:t>
      </w:r>
      <w:r w:rsidR="00F27C3B">
        <w:rPr>
          <w:rFonts w:ascii="Times New Roman" w:hAnsi="Times New Roman" w:cs="Times New Roman"/>
          <w:sz w:val="24"/>
          <w:szCs w:val="24"/>
        </w:rPr>
        <w:t xml:space="preserve"> </w:t>
      </w:r>
      <w:r w:rsidR="00F27C3B" w:rsidRPr="00F27C3B">
        <w:rPr>
          <w:rFonts w:ascii="Times New Roman" w:hAnsi="Times New Roman" w:cs="Times New Roman"/>
          <w:sz w:val="24"/>
          <w:szCs w:val="24"/>
        </w:rPr>
        <w:t>razini skupine ekonomske klasifikacije.</w:t>
      </w:r>
    </w:p>
    <w:p w:rsidR="00F27C3B" w:rsidRDefault="00F27C3B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C3B" w:rsidRDefault="00F27C3B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F27C3B">
        <w:rPr>
          <w:rFonts w:ascii="Times New Roman" w:hAnsi="Times New Roman" w:cs="Times New Roman"/>
          <w:sz w:val="24"/>
          <w:szCs w:val="24"/>
        </w:rPr>
        <w:lastRenderedPageBreak/>
        <w:t>Zakon o uvođenju eura kao službene valute u Republici Hrvatskoj (Narodne novine, br. 57/22)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u članku 69. propisuje da se proračuni, financijski planovi i drugi prateći dokumenti koji se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godini koja prethodi godini uvođenja eura pripremaju za razdoblja nakon dana uvođenja eura,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a čija obveza sastavljanja, donošenja i objavljivanja proizlazi iz odredaba propisa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uređuje sustav proračuna, sastavljaju, donose i objavljuju na način da se vrijednosti u njima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iskazuju u euru.</w:t>
      </w:r>
    </w:p>
    <w:p w:rsidR="003E2139" w:rsidRPr="005601F5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5601F5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5601F5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906238" w:rsidRPr="00906238">
        <w:rPr>
          <w:rFonts w:ascii="Times New Roman" w:hAnsi="Times New Roman" w:cs="Times New Roman"/>
          <w:sz w:val="24"/>
          <w:szCs w:val="24"/>
        </w:rPr>
        <w:t>4.202.678,00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906238">
        <w:rPr>
          <w:rFonts w:ascii="Times New Roman" w:hAnsi="Times New Roman" w:cs="Times New Roman"/>
          <w:sz w:val="24"/>
          <w:szCs w:val="24"/>
        </w:rPr>
        <w:t>2.951.102,00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102E">
        <w:rPr>
          <w:rFonts w:ascii="Times New Roman" w:hAnsi="Times New Roman" w:cs="Times New Roman"/>
          <w:sz w:val="24"/>
          <w:szCs w:val="24"/>
        </w:rPr>
        <w:t>119.450,00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>
        <w:rPr>
          <w:rFonts w:ascii="Times New Roman" w:hAnsi="Times New Roman" w:cs="Times New Roman"/>
          <w:sz w:val="24"/>
          <w:szCs w:val="24"/>
        </w:rPr>
        <w:t>1.132.126,00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301" w:rsidRPr="007923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6F4AD7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2</w:t>
      </w:r>
      <w:r w:rsidRPr="005601F5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 w:rsidRPr="005601F5">
        <w:rPr>
          <w:rFonts w:ascii="Times New Roman" w:hAnsi="Times New Roman" w:cs="Times New Roman"/>
          <w:sz w:val="24"/>
          <w:szCs w:val="24"/>
        </w:rPr>
        <w:t>ecifičnosti na lokalnoj razini</w:t>
      </w:r>
      <w:r w:rsidR="0076580C" w:rsidRPr="005601F5">
        <w:rPr>
          <w:rFonts w:ascii="Times New Roman" w:hAnsi="Times New Roman" w:cs="Times New Roman"/>
          <w:sz w:val="24"/>
          <w:szCs w:val="24"/>
        </w:rPr>
        <w:t xml:space="preserve"> uzimajući u obzir i planirane izmjene zakonskih propisa.</w:t>
      </w:r>
    </w:p>
    <w:tbl>
      <w:tblPr>
        <w:tblStyle w:val="TableGrid"/>
        <w:tblW w:w="0" w:type="auto"/>
        <w:tblLook w:val="04A0"/>
      </w:tblPr>
      <w:tblGrid>
        <w:gridCol w:w="2802"/>
        <w:gridCol w:w="2409"/>
        <w:gridCol w:w="2410"/>
        <w:gridCol w:w="2233"/>
      </w:tblGrid>
      <w:tr w:rsidR="00CD6552" w:rsidRPr="005601F5" w:rsidTr="00684E34">
        <w:tc>
          <w:tcPr>
            <w:tcW w:w="2802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CD6552" w:rsidRPr="005601F5" w:rsidRDefault="00BF460D" w:rsidP="0076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C3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:rsidR="00CD6552" w:rsidRPr="005601F5" w:rsidRDefault="00BF460D" w:rsidP="00C3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2.951.102,00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906238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3.090.299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3.097.0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76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1.373.687,00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903623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1.472.840,00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3623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1.486.495,00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709.734,00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796.98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783.7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316.020,00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315.890,00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3623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322.250,00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531.753,00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484.67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484.69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38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906238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1.132.126,00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903623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982,00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1.132.126,00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903623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6238" w:rsidP="00CD7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3.982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792301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38157B" w:rsidRPr="0038157B">
        <w:rPr>
          <w:rFonts w:ascii="Times New Roman" w:hAnsi="Times New Roman" w:cs="Times New Roman"/>
          <w:sz w:val="24"/>
          <w:szCs w:val="24"/>
        </w:rPr>
        <w:t>2.951.102,00 EUR</w:t>
      </w:r>
      <w:r w:rsidRP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Prihodi od poreza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1.373.687,00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dohodak, poreza na imovinu koji se odnose na porez na kuće za odmor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</w:p>
    <w:p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8157B">
        <w:rPr>
          <w:rFonts w:ascii="Times New Roman" w:hAnsi="Times New Roman" w:cs="Times New Roman"/>
          <w:sz w:val="24"/>
          <w:szCs w:val="24"/>
        </w:rPr>
        <w:t>709.734,00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316.020,00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531.753,00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„Osmjeh“.</w:t>
      </w:r>
    </w:p>
    <w:p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planiranu su u iznosu od </w:t>
      </w:r>
      <w:r w:rsidR="0038157B">
        <w:rPr>
          <w:rFonts w:ascii="Times New Roman" w:hAnsi="Times New Roman" w:cs="Times New Roman"/>
          <w:sz w:val="24"/>
          <w:szCs w:val="24"/>
        </w:rPr>
        <w:t>13.272,00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AE3FDB" w:rsidRPr="005601F5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6.636,00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119.450,00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A726B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38157B">
        <w:rPr>
          <w:rFonts w:ascii="Times New Roman" w:hAnsi="Times New Roman" w:cs="Times New Roman"/>
          <w:sz w:val="24"/>
          <w:szCs w:val="24"/>
        </w:rPr>
        <w:t>1.132.126,00 EUR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 w:rsidR="0038157B">
        <w:rPr>
          <w:rFonts w:ascii="Times New Roman" w:hAnsi="Times New Roman" w:cs="Times New Roman"/>
          <w:sz w:val="24"/>
          <w:szCs w:val="24"/>
        </w:rPr>
        <w:t>1.128.144,00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38157B">
        <w:rPr>
          <w:rFonts w:ascii="Times New Roman" w:hAnsi="Times New Roman" w:cs="Times New Roman"/>
          <w:sz w:val="24"/>
          <w:szCs w:val="24"/>
        </w:rPr>
        <w:t>3.982,00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</w:p>
    <w:p w:rsidR="00CA3901" w:rsidRPr="005601F5" w:rsidRDefault="00CA3901" w:rsidP="00CA3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3901">
        <w:rPr>
          <w:rFonts w:ascii="Times New Roman" w:hAnsi="Times New Roman" w:cs="Times New Roman"/>
          <w:sz w:val="24"/>
          <w:szCs w:val="24"/>
        </w:rPr>
        <w:t>ko ukupni prihodi i primici nisu jednaki ukupnim rashodima i izdaci</w:t>
      </w:r>
      <w:r>
        <w:rPr>
          <w:rFonts w:ascii="Times New Roman" w:hAnsi="Times New Roman" w:cs="Times New Roman"/>
          <w:sz w:val="24"/>
          <w:szCs w:val="24"/>
        </w:rPr>
        <w:t xml:space="preserve">ma, proračun jedinica </w:t>
      </w:r>
      <w:r w:rsidRPr="00CA3901">
        <w:rPr>
          <w:rFonts w:ascii="Times New Roman" w:hAnsi="Times New Roman" w:cs="Times New Roman"/>
          <w:sz w:val="24"/>
          <w:szCs w:val="24"/>
        </w:rPr>
        <w:t>sadrži preneseni višak ili preneseni manjak prihoda nad rashodima.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Primjerice, kada prihodi i primici koji se planiraju ostvariti unutar jedne godine nisu dostatni za pokriće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te godine za izjednačenje se koristi rezultat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(višak) iskazan u glavnoj knjizi na podskupini 922.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 poslovanja utvrđuje se zasebno za jedinicu (prihodi i rashodi, pr</w:t>
      </w:r>
      <w:r>
        <w:rPr>
          <w:rFonts w:ascii="Times New Roman" w:hAnsi="Times New Roman" w:cs="Times New Roman"/>
          <w:sz w:val="24"/>
          <w:szCs w:val="24"/>
        </w:rPr>
        <w:t>imici i izdaci isključivo jedi</w:t>
      </w:r>
      <w:r w:rsidRPr="00CA3901">
        <w:rPr>
          <w:rFonts w:ascii="Times New Roman" w:hAnsi="Times New Roman" w:cs="Times New Roman"/>
          <w:sz w:val="24"/>
          <w:szCs w:val="24"/>
        </w:rPr>
        <w:t>nice) i za proračunske</w:t>
      </w:r>
      <w:r>
        <w:rPr>
          <w:rFonts w:ascii="Times New Roman" w:hAnsi="Times New Roman" w:cs="Times New Roman"/>
          <w:sz w:val="24"/>
          <w:szCs w:val="24"/>
        </w:rPr>
        <w:t xml:space="preserve"> korisnike iz njene nadležnosti </w:t>
      </w:r>
      <w:r w:rsidRPr="00CA3901">
        <w:rPr>
          <w:rFonts w:ascii="Times New Roman" w:hAnsi="Times New Roman" w:cs="Times New Roman"/>
          <w:sz w:val="24"/>
          <w:szCs w:val="24"/>
        </w:rPr>
        <w:t>(isključivo prihodi i ras</w:t>
      </w:r>
      <w:r>
        <w:rPr>
          <w:rFonts w:ascii="Times New Roman" w:hAnsi="Times New Roman" w:cs="Times New Roman"/>
          <w:sz w:val="24"/>
          <w:szCs w:val="24"/>
        </w:rPr>
        <w:t>hodi, primici i izdaci prora</w:t>
      </w:r>
      <w:r w:rsidRPr="00CA3901">
        <w:rPr>
          <w:rFonts w:ascii="Times New Roman" w:hAnsi="Times New Roman" w:cs="Times New Roman"/>
          <w:sz w:val="24"/>
          <w:szCs w:val="24"/>
        </w:rPr>
        <w:t>čunskog korisnika)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CA3901">
        <w:rPr>
          <w:rFonts w:ascii="Times New Roman" w:hAnsi="Times New Roman" w:cs="Times New Roman"/>
          <w:sz w:val="24"/>
          <w:szCs w:val="24"/>
        </w:rPr>
        <w:t>ezultat poslovanja koji se koristi za ujednačavanje proračuna</w:t>
      </w:r>
      <w:r>
        <w:rPr>
          <w:rFonts w:ascii="Times New Roman" w:hAnsi="Times New Roman" w:cs="Times New Roman"/>
          <w:sz w:val="24"/>
          <w:szCs w:val="24"/>
        </w:rPr>
        <w:t xml:space="preserve"> je računo</w:t>
      </w:r>
      <w:r w:rsidRPr="00CA3901">
        <w:rPr>
          <w:rFonts w:ascii="Times New Roman" w:hAnsi="Times New Roman" w:cs="Times New Roman"/>
          <w:sz w:val="24"/>
          <w:szCs w:val="24"/>
        </w:rPr>
        <w:t>vodstveni podatak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3901">
        <w:rPr>
          <w:rFonts w:ascii="Times New Roman" w:hAnsi="Times New Roman" w:cs="Times New Roman"/>
          <w:sz w:val="24"/>
          <w:szCs w:val="24"/>
        </w:rPr>
        <w:t>Međutim, u trenutku izrade plana proračuna</w:t>
      </w:r>
      <w:r>
        <w:rPr>
          <w:rFonts w:ascii="Times New Roman" w:hAnsi="Times New Roman" w:cs="Times New Roman"/>
          <w:sz w:val="24"/>
          <w:szCs w:val="24"/>
        </w:rPr>
        <w:t xml:space="preserve"> konačni re</w:t>
      </w:r>
      <w:r w:rsidRPr="00CA3901">
        <w:rPr>
          <w:rFonts w:ascii="Times New Roman" w:hAnsi="Times New Roman" w:cs="Times New Roman"/>
          <w:sz w:val="24"/>
          <w:szCs w:val="24"/>
        </w:rPr>
        <w:t>zultat poslovanja nije do kraj</w:t>
      </w:r>
      <w:r>
        <w:rPr>
          <w:rFonts w:ascii="Times New Roman" w:hAnsi="Times New Roman" w:cs="Times New Roman"/>
          <w:sz w:val="24"/>
          <w:szCs w:val="24"/>
        </w:rPr>
        <w:t xml:space="preserve">a poznat (tek u siječnju godine </w:t>
      </w:r>
      <w:r w:rsidRPr="00CA3901">
        <w:rPr>
          <w:rFonts w:ascii="Times New Roman" w:hAnsi="Times New Roman" w:cs="Times New Roman"/>
          <w:sz w:val="24"/>
          <w:szCs w:val="24"/>
        </w:rPr>
        <w:t xml:space="preserve">za koju se donosi financijski </w:t>
      </w:r>
      <w:r>
        <w:rPr>
          <w:rFonts w:ascii="Times New Roman" w:hAnsi="Times New Roman" w:cs="Times New Roman"/>
          <w:sz w:val="24"/>
          <w:szCs w:val="24"/>
        </w:rPr>
        <w:t xml:space="preserve">plan to će biti točan podatak). </w:t>
      </w:r>
      <w:r w:rsidRPr="00CA3901">
        <w:rPr>
          <w:rFonts w:ascii="Times New Roman" w:hAnsi="Times New Roman" w:cs="Times New Roman"/>
          <w:sz w:val="24"/>
          <w:szCs w:val="24"/>
        </w:rPr>
        <w:t>Zbog toga prilikom planiranja</w:t>
      </w:r>
      <w:r>
        <w:rPr>
          <w:rFonts w:ascii="Times New Roman" w:hAnsi="Times New Roman" w:cs="Times New Roman"/>
          <w:sz w:val="24"/>
          <w:szCs w:val="24"/>
        </w:rPr>
        <w:t xml:space="preserve">, tj. izrade financijskog plana </w:t>
      </w:r>
      <w:r w:rsidRPr="00CA3901">
        <w:rPr>
          <w:rFonts w:ascii="Times New Roman" w:hAnsi="Times New Roman" w:cs="Times New Roman"/>
          <w:sz w:val="24"/>
          <w:szCs w:val="24"/>
        </w:rPr>
        <w:t>u obzir se uzima planirani rez</w:t>
      </w:r>
      <w:r>
        <w:rPr>
          <w:rFonts w:ascii="Times New Roman" w:hAnsi="Times New Roman" w:cs="Times New Roman"/>
          <w:sz w:val="24"/>
          <w:szCs w:val="24"/>
        </w:rPr>
        <w:t xml:space="preserve">ultat poslovanja, odnosno </w:t>
      </w:r>
      <w:r w:rsidRPr="00CA3901">
        <w:rPr>
          <w:rFonts w:ascii="Times New Roman" w:hAnsi="Times New Roman" w:cs="Times New Roman"/>
          <w:sz w:val="24"/>
          <w:szCs w:val="24"/>
        </w:rPr>
        <w:t>njegova procjena.</w:t>
      </w:r>
      <w:r w:rsidRPr="00CA3901">
        <w:t xml:space="preserve"> </w:t>
      </w:r>
      <w:r>
        <w:t>Z</w:t>
      </w:r>
      <w:r w:rsidRPr="00CA3901">
        <w:rPr>
          <w:rFonts w:ascii="Times New Roman" w:hAnsi="Times New Roman" w:cs="Times New Roman"/>
          <w:sz w:val="24"/>
          <w:szCs w:val="24"/>
        </w:rPr>
        <w:t>bog toga je preporuka kod procjene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rezultata koristiti financijske izvještaje odnosno Izvještaj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o prihodima i rashodima, primicima i izdacima (Obrazac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PR-RAS) i to za III. kvartal tekuće godine.</w:t>
      </w:r>
      <w:r>
        <w:rPr>
          <w:rFonts w:ascii="Times New Roman" w:hAnsi="Times New Roman" w:cs="Times New Roman"/>
          <w:sz w:val="24"/>
          <w:szCs w:val="24"/>
        </w:rPr>
        <w:t xml:space="preserve"> Općina Starigrad će cijeli višak koristiti za ujednačavanje proračuna za 2023. godinu, te zbog toga nije potrebno izraditi višegodišnji plan uravnoteženja.</w:t>
      </w:r>
    </w:p>
    <w:p w:rsidR="0038157B" w:rsidRDefault="0038157B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38157B">
        <w:rPr>
          <w:rFonts w:ascii="Times New Roman" w:hAnsi="Times New Roman" w:cs="Times New Roman"/>
          <w:sz w:val="24"/>
          <w:szCs w:val="24"/>
        </w:rPr>
        <w:t>4.202.678,00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38157B">
        <w:rPr>
          <w:rFonts w:ascii="Times New Roman" w:hAnsi="Times New Roman" w:cs="Times New Roman"/>
          <w:sz w:val="24"/>
          <w:szCs w:val="24"/>
        </w:rPr>
        <w:t>2.110.500,00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2.092.178,00 EUR.</w:t>
      </w:r>
    </w:p>
    <w:p w:rsid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2</w:t>
      </w:r>
      <w:r w:rsidRPr="005601F5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CA3901" w:rsidRDefault="00CA3901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>ranih za 202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DC1E11">
        <w:rPr>
          <w:rFonts w:ascii="Times New Roman" w:hAnsi="Times New Roman" w:cs="Times New Roman"/>
          <w:sz w:val="24"/>
          <w:szCs w:val="24"/>
        </w:rPr>
        <w:t>4.202.678,00 EU</w:t>
      </w:r>
      <w:r w:rsidR="005563FA">
        <w:rPr>
          <w:rFonts w:ascii="Times New Roman" w:hAnsi="Times New Roman" w:cs="Times New Roman"/>
          <w:sz w:val="24"/>
          <w:szCs w:val="24"/>
        </w:rPr>
        <w:t>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5563FA">
        <w:rPr>
          <w:rFonts w:ascii="Times New Roman" w:hAnsi="Times New Roman" w:cs="Times New Roman"/>
          <w:sz w:val="24"/>
          <w:szCs w:val="24"/>
        </w:rPr>
        <w:t>2.110.500,00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na rashode za nabavu nefinancijske imovine </w:t>
      </w:r>
      <w:r w:rsidR="005563FA">
        <w:rPr>
          <w:rFonts w:ascii="Times New Roman" w:hAnsi="Times New Roman" w:cs="Times New Roman"/>
          <w:sz w:val="24"/>
          <w:szCs w:val="24"/>
        </w:rPr>
        <w:t>2.092.178,00 EUR.</w:t>
      </w:r>
    </w:p>
    <w:tbl>
      <w:tblPr>
        <w:tblStyle w:val="TableGrid"/>
        <w:tblW w:w="0" w:type="auto"/>
        <w:tblLook w:val="04A0"/>
      </w:tblPr>
      <w:tblGrid>
        <w:gridCol w:w="3085"/>
        <w:gridCol w:w="2410"/>
        <w:gridCol w:w="2268"/>
        <w:gridCol w:w="2091"/>
      </w:tblGrid>
      <w:tr w:rsidR="00CD6552" w:rsidRPr="005601F5" w:rsidTr="00684E34">
        <w:tc>
          <w:tcPr>
            <w:tcW w:w="3085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CD6552" w:rsidRPr="005601F5" w:rsidRDefault="00BF460D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CD6552" w:rsidRPr="005601F5" w:rsidRDefault="00BF460D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2.110.500,00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1.859.5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1.854.9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354.431,00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354.4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1.285.564,00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1.115.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1.110.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715,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24.421,00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23.221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23.227,00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29.860,00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29.860,00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89.589,00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89.580,00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89.580,00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333.268,00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247.250,00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247.070,00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E0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2.092.178,00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1.354.200,00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330E1A" w:rsidRPr="005601F5" w:rsidRDefault="00330E1A" w:rsidP="003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1.365.571,00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5563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151.302,00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73.000,00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39.820,00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1.940.876,00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1.281.200,00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1.325.751,00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330E1A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2.110.500,00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 xml:space="preserve">354.431,00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5563FA">
        <w:rPr>
          <w:rFonts w:ascii="Times New Roman" w:hAnsi="Times New Roman" w:cs="Times New Roman"/>
          <w:bCs/>
          <w:sz w:val="24"/>
          <w:szCs w:val="24"/>
        </w:rPr>
        <w:t>1.285.564,00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, a to su: naknade troškova zaposlenima (stručni usavršavanje i 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</w:t>
      </w: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>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24.421,00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poslova vezanih uz općinske poreze.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23.227,00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pse).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89.589,00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škole.</w:t>
      </w:r>
    </w:p>
    <w:p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333.268,00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2.092.178,00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5601F5">
        <w:rPr>
          <w:rFonts w:ascii="Times New Roman" w:hAnsi="Times New Roman" w:cs="Times New Roman"/>
          <w:sz w:val="24"/>
          <w:szCs w:val="24"/>
        </w:rPr>
        <w:t>odnose se na</w:t>
      </w:r>
      <w:r w:rsidR="008E4D45" w:rsidRPr="005601F5">
        <w:rPr>
          <w:rFonts w:ascii="Times New Roman" w:hAnsi="Times New Roman" w:cs="Times New Roman"/>
          <w:sz w:val="24"/>
          <w:szCs w:val="24"/>
        </w:rPr>
        <w:t>:</w:t>
      </w:r>
    </w:p>
    <w:p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>151.302,00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:rsidR="008E4D45" w:rsidRPr="005601F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>1.940.876,00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F460D" w:rsidRPr="005601F5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D6189A">
        <w:rPr>
          <w:rFonts w:ascii="Times New Roman" w:hAnsi="Times New Roman" w:cs="Times New Roman"/>
          <w:sz w:val="24"/>
          <w:szCs w:val="24"/>
        </w:rPr>
        <w:t>1.716.448,00 EUR.</w:t>
      </w:r>
    </w:p>
    <w:p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D6189A">
        <w:rPr>
          <w:rFonts w:ascii="Times New Roman" w:hAnsi="Times New Roman" w:cs="Times New Roman"/>
          <w:sz w:val="24"/>
          <w:szCs w:val="24"/>
        </w:rPr>
        <w:t>709.070,00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D6189A">
        <w:rPr>
          <w:rFonts w:ascii="Times New Roman" w:hAnsi="Times New Roman" w:cs="Times New Roman"/>
          <w:sz w:val="24"/>
          <w:szCs w:val="24"/>
        </w:rPr>
        <w:t>498.375,00 EUR.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D6189A">
        <w:rPr>
          <w:rFonts w:ascii="Times New Roman" w:hAnsi="Times New Roman" w:cs="Times New Roman"/>
          <w:sz w:val="24"/>
          <w:szCs w:val="24"/>
        </w:rPr>
        <w:t>119.450,00 EUR.</w:t>
      </w:r>
    </w:p>
    <w:p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1.128.144,00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što je procjena ostvarenja viška prihoda.</w:t>
      </w:r>
    </w:p>
    <w:p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D6189A">
        <w:rPr>
          <w:rFonts w:ascii="Times New Roman" w:hAnsi="Times New Roman" w:cs="Times New Roman"/>
          <w:sz w:val="24"/>
          <w:szCs w:val="24"/>
        </w:rPr>
        <w:t>31.191,00 EUR.</w:t>
      </w:r>
    </w:p>
    <w:tbl>
      <w:tblPr>
        <w:tblStyle w:val="TableGrid"/>
        <w:tblW w:w="10173" w:type="dxa"/>
        <w:tblLook w:val="04A0"/>
      </w:tblPr>
      <w:tblGrid>
        <w:gridCol w:w="3652"/>
        <w:gridCol w:w="2126"/>
        <w:gridCol w:w="2127"/>
        <w:gridCol w:w="2268"/>
      </w:tblGrid>
      <w:tr w:rsidR="00BF460D" w:rsidRPr="005601F5" w:rsidTr="00330E1A">
        <w:tc>
          <w:tcPr>
            <w:tcW w:w="3652" w:type="dxa"/>
            <w:shd w:val="clear" w:color="auto" w:fill="E2EFD9" w:themeFill="accent6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F460D" w:rsidRPr="005601F5" w:rsidRDefault="00866996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460D" w:rsidRPr="005601F5" w:rsidRDefault="00866996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F460D" w:rsidRPr="005601F5" w:rsidRDefault="00866996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6189A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1.716.448,00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330E1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1.814.850,00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330E1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1.834.889,00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1.373.687,00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D2">
              <w:rPr>
                <w:rFonts w:ascii="Times New Roman" w:hAnsi="Times New Roman" w:cs="Times New Roman"/>
                <w:sz w:val="24"/>
                <w:szCs w:val="24"/>
              </w:rPr>
              <w:t>1.472.840,00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D2">
              <w:rPr>
                <w:rFonts w:ascii="Times New Roman" w:hAnsi="Times New Roman" w:cs="Times New Roman"/>
                <w:sz w:val="24"/>
                <w:szCs w:val="24"/>
              </w:rPr>
              <w:t>1.486.495,00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189.864,00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189.150,00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D29D2" w:rsidRPr="005601F5" w:rsidRDefault="007D29D2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188.860,00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145.996,00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145.950,00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152.630,00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709.070,00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7D29D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D2">
              <w:rPr>
                <w:rFonts w:ascii="Times New Roman" w:hAnsi="Times New Roman" w:cs="Times New Roman"/>
                <w:sz w:val="24"/>
                <w:szCs w:val="24"/>
              </w:rPr>
              <w:t>796.320,00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D2">
              <w:rPr>
                <w:rFonts w:ascii="Times New Roman" w:hAnsi="Times New Roman" w:cs="Times New Roman"/>
                <w:sz w:val="24"/>
                <w:szCs w:val="24"/>
              </w:rPr>
              <w:t>783.046,00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7D29D2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331.800,00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proračuna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72.995,00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106.170,00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106.166,00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357.359,00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411.440,00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331.810,00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7D29D2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D6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9A" w:rsidRPr="005601F5" w:rsidRDefault="00D6189A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498.375,00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451.920,00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451.920,00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106.842,00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113.480,00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D29D2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113.480,00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132.720,00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132.720,00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199.080,00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199.080,00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1.128.144,00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1.128.144,00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31.191,00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191,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08691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08691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30.527,00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086915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086915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1C2B88" w:rsidRPr="005601F5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A80D94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p w:rsidR="00CD7C22" w:rsidRPr="005601F5" w:rsidRDefault="00CD7C22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ook w:val="04A0"/>
      </w:tblPr>
      <w:tblGrid>
        <w:gridCol w:w="817"/>
        <w:gridCol w:w="2977"/>
        <w:gridCol w:w="2126"/>
        <w:gridCol w:w="2126"/>
        <w:gridCol w:w="2127"/>
      </w:tblGrid>
      <w:tr w:rsidR="002F75B0" w:rsidRPr="005601F5" w:rsidTr="00A27C57">
        <w:tc>
          <w:tcPr>
            <w:tcW w:w="817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500.238,00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478.754,00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476.338,00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99.540,00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139.360,00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95.229,00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325.040,00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305.130,00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57.735,00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146.660,00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B4573" w:rsidRPr="005601F5" w:rsidRDefault="00A27C57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9.950,00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C3" w:rsidRPr="005601F5" w:rsidRDefault="00A27C5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2.985.933,00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1.792.575,00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1.918.566,00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5.309,00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151.305,00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38.490,00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38.480,00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260.270,00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260.342,00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260.342,00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67.026,00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67.020,00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67.020,00 EUR</w:t>
            </w:r>
          </w:p>
        </w:tc>
      </w:tr>
      <w:tr w:rsidR="003B22C3" w:rsidRPr="005601F5" w:rsidTr="00A27C57">
        <w:tc>
          <w:tcPr>
            <w:tcW w:w="3794" w:type="dxa"/>
            <w:gridSpan w:val="2"/>
            <w:shd w:val="clear" w:color="auto" w:fill="FFF2CC" w:themeFill="accent4" w:themeFillTint="33"/>
          </w:tcPr>
          <w:p w:rsidR="003B22C3" w:rsidRPr="005601F5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B22C3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B22C3" w:rsidRPr="005601F5" w:rsidRDefault="00A27C57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3.213.731,00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B22C3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3.220.496,00 EUR</w:t>
            </w:r>
          </w:p>
        </w:tc>
      </w:tr>
    </w:tbl>
    <w:p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10173" w:type="dxa"/>
        <w:tblLook w:val="04A0"/>
      </w:tblPr>
      <w:tblGrid>
        <w:gridCol w:w="3794"/>
        <w:gridCol w:w="2126"/>
        <w:gridCol w:w="2126"/>
        <w:gridCol w:w="2127"/>
      </w:tblGrid>
      <w:tr w:rsidR="0035377F" w:rsidRPr="005601F5" w:rsidTr="00A27C57">
        <w:tc>
          <w:tcPr>
            <w:tcW w:w="3794" w:type="dxa"/>
            <w:shd w:val="clear" w:color="auto" w:fill="E2EFD9" w:themeFill="accent6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30.526,00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32.520,00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32.510,00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30.526,00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32.520,00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32.510,00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A27C57" w:rsidP="002F4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4.172.152,00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3.181.211,00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35377F" w:rsidRPr="005601F5" w:rsidRDefault="00260EBE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3.187.986,00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1.347.682,00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1.159.644,00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1.080.108,00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99.540,00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60EBE" w:rsidRPr="005601F5" w:rsidRDefault="00260EBE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139.360,00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 ostala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2.292.781,00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1.556.185,00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1.602.686,00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119.451,00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33.180,00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33.170,00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260.270,00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260.342,00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260.342,00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217.002,00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217.002,00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217.002,00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68.353,00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68.340,00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68.340,00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3.982,00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3.213.731,00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A27C5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3.220.496,00 EUR</w:t>
            </w:r>
          </w:p>
        </w:tc>
      </w:tr>
    </w:tbl>
    <w:p w:rsidR="000F332F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D7C22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D7C22" w:rsidRPr="005601F5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3. POSEBNI DIO PRORAČUNA</w:t>
      </w:r>
    </w:p>
    <w:p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pročuna Općine Starigrad za 2023. godinu su sljedeći: </w:t>
      </w:r>
    </w:p>
    <w:p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03/20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5601F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5601F5">
              <w:rPr>
                <w:rFonts w:ascii="Times New Roman" w:hAnsi="Times New Roman" w:cs="Times New Roman"/>
              </w:rPr>
              <w:t>19/21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:rsidR="00E67C2E" w:rsidRPr="005601F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16F21" w:rsidRPr="005601F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 w:rsidR="00181858" w:rsidRPr="005601F5">
              <w:rPr>
                <w:rFonts w:ascii="Times New Roman" w:hAnsi="Times New Roman" w:cs="Times New Roman"/>
              </w:rPr>
              <w:t>1 Pre</w:t>
            </w:r>
            <w:r w:rsidR="00E67C2E" w:rsidRPr="005601F5">
              <w:rPr>
                <w:rFonts w:ascii="Times New Roman" w:hAnsi="Times New Roman" w:cs="Times New Roman"/>
              </w:rPr>
              <w:t>d</w:t>
            </w:r>
            <w:r w:rsidR="00181858" w:rsidRPr="005601F5">
              <w:rPr>
                <w:rFonts w:ascii="Times New Roman" w:hAnsi="Times New Roman" w:cs="Times New Roman"/>
              </w:rPr>
              <w:t>stavnička tijela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:rsidR="00C16F21" w:rsidRPr="005601F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858"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E074D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21.899,00 EUR</w:t>
            </w:r>
          </w:p>
          <w:p w:rsidR="00181858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4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  <w:p w:rsidR="00181858" w:rsidRPr="005601F5" w:rsidRDefault="00DE13CF" w:rsidP="008E07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5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23.880,00 EUR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5601F5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</w:t>
      </w:r>
      <w:r w:rsidR="00C3516D">
        <w:rPr>
          <w:rFonts w:ascii="Times New Roman" w:hAnsi="Times New Roman" w:cs="Times New Roman"/>
          <w:sz w:val="24"/>
          <w:szCs w:val="24"/>
        </w:rPr>
        <w:t>1.327,00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E3C" w:rsidRPr="005601F5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pomorskom dobru i morskim lukama (NN 158/03, 100/04, 141/06, 38/09, 123/11, 56/16, 98/19)</w:t>
            </w:r>
          </w:p>
          <w:p w:rsidR="00D02DC8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601F5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601F5" w:rsidRDefault="00D02DC8" w:rsidP="00DE1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Odluku o imenovanju Vijeća za dodjelu koncesijskih odobrenja Starigrad (Službeni glasnik Zadarske županije </w:t>
            </w:r>
            <w:r w:rsidR="00DE13CF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8E074D" w:rsidP="00EB35B1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 w:rsidR="00B01955">
              <w:rPr>
                <w:rFonts w:ascii="Times New Roman" w:hAnsi="Times New Roman" w:cs="Times New Roman"/>
              </w:rPr>
              <w:t>;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1.327,00 EUR</w:t>
            </w:r>
          </w:p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1.330,00 EUR</w:t>
            </w:r>
          </w:p>
          <w:p w:rsidR="00E67C2E" w:rsidRPr="005601F5" w:rsidRDefault="00B01955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1.330,00 EUR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601F5">
              <w:rPr>
                <w:rFonts w:ascii="Times New Roman" w:hAnsi="Times New Roman" w:cs="Times New Roman"/>
              </w:rPr>
              <w:t>, Evidencija izdanih koncesijskih odobrenja</w:t>
            </w:r>
            <w:r w:rsidR="00B01955">
              <w:rPr>
                <w:rFonts w:ascii="Times New Roman" w:hAnsi="Times New Roman" w:cs="Times New Roman"/>
              </w:rPr>
              <w:t>; Broj dodijeljenih koncesijskih odobrenja.</w:t>
            </w:r>
          </w:p>
        </w:tc>
      </w:tr>
    </w:tbl>
    <w:p w:rsidR="00E67C2E" w:rsidRPr="005601F5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</w:t>
      </w:r>
      <w:r w:rsidR="00C3516D">
        <w:rPr>
          <w:rFonts w:ascii="Times New Roman" w:hAnsi="Times New Roman" w:cs="Times New Roman"/>
          <w:sz w:val="24"/>
          <w:szCs w:val="24"/>
        </w:rPr>
        <w:t>7.300,00 EUR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874B8" w:rsidRPr="005601F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:rsidR="001E63B0" w:rsidRPr="005601F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 w:rsidR="00B01955">
              <w:rPr>
                <w:rFonts w:ascii="Times New Roman" w:hAnsi="Times New Roman" w:cs="Times New Roman"/>
              </w:rPr>
              <w:t>.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B01955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CA7963" w:rsidRDefault="00CA7963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rFonts w:eastAsiaTheme="minorHAnsi"/>
          <w:lang w:val="hr-HR"/>
        </w:rPr>
      </w:pPr>
    </w:p>
    <w:p w:rsidR="003C1A17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0BD2" w:rsidRPr="005601F5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proračunu (NN </w:t>
            </w:r>
            <w:r w:rsidR="00B01955">
              <w:rPr>
                <w:rFonts w:ascii="Times New Roman" w:hAnsi="Times New Roman" w:cs="Times New Roman"/>
              </w:rPr>
              <w:t>144/21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903C3" w:rsidRPr="005601F5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:rsidR="00390E37" w:rsidRPr="005601F5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601F5">
              <w:rPr>
                <w:rFonts w:ascii="Times New Roman" w:hAnsi="Times New Roman" w:cs="Times New Roman"/>
              </w:rPr>
              <w:t>u Jedinstvenog upravnog odjela O</w:t>
            </w:r>
            <w:r w:rsidRPr="005601F5">
              <w:rPr>
                <w:rFonts w:ascii="Times New Roman" w:hAnsi="Times New Roman" w:cs="Times New Roman"/>
              </w:rPr>
              <w:t>pćine Starigrad</w:t>
            </w:r>
            <w:r w:rsidR="001837B7" w:rsidRPr="005601F5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visini osnovice i koeficijentima za obračun plaće / naknade za dužnosnike Općine Starigrad Starigrad (Službeni glasnik Zadarske županije 08/19)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koeficijentima za obračun plaće službenika i namještenika u Jedinstvenom upravnom odjelu Općine Starigrad (Službeni glasnik Zadarske županije 15/13</w:t>
            </w:r>
            <w:r w:rsidR="00A351E2" w:rsidRPr="005601F5">
              <w:rPr>
                <w:rFonts w:ascii="Times New Roman" w:hAnsi="Times New Roman" w:cs="Times New Roman"/>
              </w:rPr>
              <w:t>, 07/16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82A2D" w:rsidRPr="005601F5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izmjeni Odluke o koeficijentima za obračun plaće službenika i </w:t>
            </w:r>
            <w:r w:rsidRPr="005601F5">
              <w:rPr>
                <w:rFonts w:ascii="Times New Roman" w:hAnsi="Times New Roman" w:cs="Times New Roman"/>
              </w:rPr>
              <w:lastRenderedPageBreak/>
              <w:t>namještenika u Jedinstvenom upravnom odjelu Općine Starigrad (Službeni glasnik Zadarske županije 08/19)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5601F5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  <w:p w:rsidR="00B01955" w:rsidRPr="005601F5" w:rsidRDefault="00B01955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projektt K100005 Osobni automobil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Pr="00D14C50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="00D14C50">
              <w:rPr>
                <w:rFonts w:ascii="Times New Roman" w:hAnsi="Times New Roman" w:cs="Times New Roman"/>
              </w:rPr>
              <w:t xml:space="preserve"> </w:t>
            </w:r>
            <w:r w:rsidR="00D14C50"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:rsidR="00C903C3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C1A17"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3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>453.786,00</w:t>
            </w:r>
            <w:r w:rsidR="00C3516D">
              <w:rPr>
                <w:rFonts w:ascii="Times New Roman" w:hAnsi="Times New Roman" w:cs="Times New Roman"/>
              </w:rPr>
              <w:t xml:space="preserve"> EUR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430.3</w:t>
            </w:r>
            <w:r w:rsidR="00CA7963">
              <w:rPr>
                <w:rFonts w:ascii="Times New Roman" w:hAnsi="Times New Roman" w:cs="Times New Roman"/>
              </w:rPr>
              <w:t>14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C903C3" w:rsidRPr="005601F5" w:rsidRDefault="00B01955" w:rsidP="00CA79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427.9</w:t>
            </w:r>
            <w:r w:rsidR="00CA7963">
              <w:rPr>
                <w:rFonts w:ascii="Times New Roman" w:hAnsi="Times New Roman" w:cs="Times New Roman"/>
              </w:rPr>
              <w:t>08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C3516D">
        <w:rPr>
          <w:rFonts w:ascii="Times New Roman" w:hAnsi="Times New Roman" w:cs="Times New Roman"/>
          <w:sz w:val="24"/>
          <w:szCs w:val="24"/>
        </w:rPr>
        <w:t>50.435,00 EUR.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601F5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5601F5">
              <w:rPr>
                <w:rFonts w:ascii="Times New Roman" w:hAnsi="Times New Roman" w:cs="Times New Roman"/>
              </w:rPr>
              <w:t>, 136/20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112256" w:rsidRPr="005601F5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45AEB" w:rsidRPr="005601F5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601F5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D14C50" w:rsidP="00945AEB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civilnog društva i osnaženje kapaciteta i suradnje među svim akterima razvoja</w:t>
            </w:r>
            <w:r>
              <w:rPr>
                <w:rFonts w:ascii="Times New Roman" w:hAnsi="Times New Roman" w:cs="Times New Roman"/>
              </w:rPr>
              <w:t>; F</w:t>
            </w:r>
            <w:r w:rsidR="004F7510" w:rsidRPr="005601F5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2023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50.435,00 EUR</w:t>
            </w:r>
          </w:p>
          <w:p w:rsidR="00112256" w:rsidRP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2024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  <w:p w:rsidR="00112256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3516D">
        <w:rPr>
          <w:rFonts w:ascii="Times New Roman" w:hAnsi="Times New Roman" w:cs="Times New Roman"/>
          <w:sz w:val="24"/>
          <w:szCs w:val="24"/>
        </w:rPr>
        <w:t>1.659,00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601F5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7E91" w:rsidRPr="005601F5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601F5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601F5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601F5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601F5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C50">
              <w:rPr>
                <w:rFonts w:ascii="Times New Roman" w:hAnsi="Times New Roman" w:cs="Times New Roman"/>
              </w:rPr>
              <w:t>proj</w:t>
            </w:r>
            <w:r>
              <w:rPr>
                <w:rFonts w:ascii="Times New Roman" w:hAnsi="Times New Roman" w:cs="Times New Roman"/>
              </w:rPr>
              <w:t xml:space="preserve">ekata; </w:t>
            </w:r>
            <w:r w:rsidRPr="00D14C50">
              <w:rPr>
                <w:rFonts w:ascii="Times New Roman" w:hAnsi="Times New Roman" w:cs="Times New Roman"/>
              </w:rPr>
              <w:t xml:space="preserve"> </w:t>
            </w:r>
            <w:r w:rsidR="00F42569"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14C50">
              <w:rPr>
                <w:rFonts w:ascii="Times New Roman" w:hAnsi="Times New Roman" w:cs="Times New Roman"/>
              </w:rPr>
              <w:t>3</w:t>
            </w:r>
            <w:r w:rsidR="00C45392" w:rsidRPr="005601F5">
              <w:rPr>
                <w:rFonts w:ascii="Times New Roman" w:hAnsi="Times New Roman" w:cs="Times New Roman"/>
              </w:rPr>
              <w:t>. godina =</w:t>
            </w:r>
            <w:r w:rsidR="00DA5AD0" w:rsidRPr="005601F5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>1.659,00 EUR</w:t>
            </w:r>
          </w:p>
          <w:p w:rsidR="00C45392" w:rsidRPr="005601F5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2.650,00 EUR</w:t>
            </w:r>
          </w:p>
          <w:p w:rsidR="00C45392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2.650,00 EUR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 w:rsidR="00D14C50"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 w:rsidR="00D14C50"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 w:rsidR="00C3516D">
        <w:rPr>
          <w:rFonts w:ascii="Times New Roman" w:hAnsi="Times New Roman" w:cs="Times New Roman"/>
          <w:sz w:val="24"/>
          <w:szCs w:val="24"/>
        </w:rPr>
        <w:t>91.247,00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</w:t>
      </w:r>
      <w:r w:rsidR="003832EE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Okusi baštinu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obuhvaća niz edukativnih i kulturno-turističkih događanja za lokalnu zajednicu i turista, kroz koje se želi doprinijeti očuvanju, vrednovanju i promociji kulturne- maritimne baštine te tradicije ribarstva i marikulture na području Općine Starigrad koja je članica LAGUR-a Tri mora.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Nositelj projekta je TZO Starigrad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Općina Starigrad je partner te će u projektu sudjelovati financiranjem gastro radionice za ugostitelje. Cilj edukacije je unaprijediti znanja i vještine te ugostiteljsku ponudu u skladu sa zahtjevima tržišta te ojačati poziciju lokalnog ribarstva i akvakulture kroz turizam.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Ukupna vrijednost projekta će iznositi oko 270.000,00 kn od čega bi obveza Općine iznosila 3</w:t>
      </w:r>
      <w:r w:rsidR="001426A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.000,00 kn te će se kandidirati na natječaj FLAG-a Tri mora, Mjera 2.2.</w:t>
      </w:r>
      <w:r w:rsidR="00A91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Potpora vrednovanju, zaštiti i promociji kulturne-maritimne baštine te tradicije ribarstva i akvakulture.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Predviđeno je financiranje u iznosu od 100%. Projekt se planira realizirati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kraja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2023. godini. Provedbi ovog projekta 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>prethodila je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faza projekta Okusi baštinu kojemu je nositelj također TZO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Starigrad u partnerstvu sa Općinom Starigrad a koji 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provodio u 2022. godini.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Turističkom zajednicom Zadarske županije ugovorena je međusobna suradnja na realiziciji marketinških aktivnosti putem kanala strateških partnera, poglavito inozemnih avio-kompanija. 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C5239" w:rsidRPr="005601F5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5601F5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5601F5">
              <w:rPr>
                <w:rFonts w:ascii="Times New Roman" w:hAnsi="Times New Roman" w:cs="Times New Roman"/>
              </w:rPr>
              <w:t>52/19, 42/20</w:t>
            </w:r>
            <w:r w:rsidRPr="005601F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:rsidR="00D14C50" w:rsidRPr="005601F5" w:rsidRDefault="00D14C50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14C50">
              <w:rPr>
                <w:rFonts w:ascii="Times New Roman" w:hAnsi="Times New Roman" w:cs="Times New Roman"/>
              </w:rPr>
              <w:t>3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91.247,00 EUR</w:t>
            </w:r>
          </w:p>
          <w:p w:rsidR="00F42569" w:rsidRPr="005601F5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321.060,00 EUR</w:t>
            </w:r>
          </w:p>
          <w:p w:rsidR="00F42569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301.150,00 EUR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14C50" w:rsidP="00EB35B1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Razvoj sustava upravljanja destinacijom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471D7"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601F5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3516D">
        <w:rPr>
          <w:rFonts w:ascii="Times New Roman" w:hAnsi="Times New Roman" w:cs="Times New Roman"/>
          <w:sz w:val="24"/>
          <w:szCs w:val="24"/>
        </w:rPr>
        <w:t>168.559,00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te sredstva za sufinanciranje Županijske lučke uprave vezano za izradu projektne dokumentacije za Luku Starigrad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</w:p>
    <w:p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5601F5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85475" w:rsidRPr="005601F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5601F5">
              <w:rPr>
                <w:rFonts w:ascii="Times New Roman" w:hAnsi="Times New Roman" w:cs="Times New Roman"/>
              </w:rPr>
              <w:t>, 66/19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471D7" w:rsidRPr="005601F5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80D94" w:rsidRPr="00FF34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5601F5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5601F5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5601F5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:rsidR="00C83EB2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9309E" w:rsidRPr="00F9309E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lastRenderedPageBreak/>
              <w:t>Unaprjeđenje kvalitete i održivo upravljanje sustava vodoopskrbe i odvodnje (vodnog</w:t>
            </w:r>
          </w:p>
          <w:p w:rsidR="003471D7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lastRenderedPageBreak/>
              <w:t>gospodarstva)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Unapređenje infrastrukture i organizacije cestovno</w:t>
            </w:r>
            <w:r>
              <w:rPr>
                <w:rFonts w:ascii="Times New Roman" w:hAnsi="Times New Roman" w:cs="Times New Roman"/>
              </w:rPr>
              <w:t xml:space="preserve">g prometa i prometa u mirovanju; </w:t>
            </w:r>
            <w:r w:rsidR="001D01CC"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3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168.559,00 EUR</w:t>
            </w:r>
          </w:p>
          <w:p w:rsidR="003471D7" w:rsidRPr="005601F5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4</w:t>
            </w:r>
            <w:r w:rsidR="00A9653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115.660,00 EUR</w:t>
            </w:r>
          </w:p>
          <w:p w:rsidR="003471D7" w:rsidRPr="005601F5" w:rsidRDefault="003832EE" w:rsidP="000144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5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115.490,00 EUR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komunalne opreme – kante, izrad</w:t>
      </w:r>
      <w:r w:rsidR="00C83EB2" w:rsidRPr="005601F5">
        <w:rPr>
          <w:rFonts w:ascii="Times New Roman" w:hAnsi="Times New Roman" w:cs="Times New Roman"/>
          <w:sz w:val="24"/>
          <w:szCs w:val="24"/>
        </w:rPr>
        <w:t>u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projektne dokumentacije za Reciklažno dvorište,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C3516D">
        <w:rPr>
          <w:rFonts w:ascii="Times New Roman" w:hAnsi="Times New Roman" w:cs="Times New Roman"/>
          <w:sz w:val="24"/>
          <w:szCs w:val="24"/>
        </w:rPr>
        <w:t>57.735,00 EUR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601F5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D01CC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održivom gospodarenju otpadom (NN 94/13, 73/17</w:t>
            </w:r>
            <w:r w:rsidR="00386DB0" w:rsidRPr="005601F5">
              <w:rPr>
                <w:rFonts w:ascii="Times New Roman" w:hAnsi="Times New Roman" w:cs="Times New Roman"/>
              </w:rPr>
              <w:t>, 14/19, 98/19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6330" w:rsidRPr="005601F5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601F5">
              <w:rPr>
                <w:rFonts w:ascii="Times New Roman" w:hAnsi="Times New Roman" w:cs="Times New Roman"/>
              </w:rPr>
              <w:t>, 12/18, 118/18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Reciklažno dvorište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sustava gospodarenja komunalnim otpadom i poticanje prijelaza na kružno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Razvoj zelene infrastrukture na urbanim područjima i stvaranje zelenih općina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6330" w:rsidRPr="005601F5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5601F5">
              <w:rPr>
                <w:rFonts w:ascii="Times New Roman" w:hAnsi="Times New Roman" w:cs="Times New Roman"/>
              </w:rPr>
              <w:t>Monitoring saniranog odlagališta</w:t>
            </w:r>
            <w:r w:rsidR="005E56A1">
              <w:rPr>
                <w:rFonts w:ascii="Times New Roman" w:hAnsi="Times New Roman" w:cs="Times New Roman"/>
              </w:rPr>
              <w:t xml:space="preserve"> </w:t>
            </w:r>
            <w:r w:rsidR="006F6330" w:rsidRPr="005601F5">
              <w:rPr>
                <w:rFonts w:ascii="Times New Roman" w:hAnsi="Times New Roman" w:cs="Times New Roman"/>
              </w:rPr>
              <w:t>otpada Sa</w:t>
            </w:r>
            <w:r w:rsidR="00F97307" w:rsidRPr="005601F5">
              <w:rPr>
                <w:rFonts w:ascii="Times New Roman" w:hAnsi="Times New Roman" w:cs="Times New Roman"/>
              </w:rPr>
              <w:t xml:space="preserve">mograd; </w:t>
            </w:r>
            <w:r w:rsidR="00E03C71" w:rsidRPr="005601F5">
              <w:rPr>
                <w:rFonts w:ascii="Times New Roman" w:hAnsi="Times New Roman" w:cs="Times New Roman"/>
              </w:rPr>
              <w:t xml:space="preserve">Izrada projektne dokumentacije Reciklažno dvorište; </w:t>
            </w:r>
            <w:r w:rsidR="00D73FFE" w:rsidRPr="005601F5">
              <w:rPr>
                <w:rFonts w:ascii="Times New Roman" w:hAnsi="Times New Roman" w:cs="Times New Roman"/>
              </w:rPr>
              <w:t>Provedba ciljeva i zadać</w:t>
            </w:r>
            <w:r w:rsidR="006F6330" w:rsidRPr="005601F5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3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57.735,00 EUR</w:t>
            </w:r>
          </w:p>
          <w:p w:rsidR="001D01CC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146.660,00 EUR</w:t>
            </w:r>
          </w:p>
          <w:p w:rsidR="001D01CC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AE3B72" w:rsidRPr="005601F5">
              <w:rPr>
                <w:rFonts w:ascii="Times New Roman" w:hAnsi="Times New Roman" w:cs="Times New Roman"/>
              </w:rPr>
              <w:t xml:space="preserve">  </w:t>
            </w:r>
            <w:r w:rsidR="00C3516D">
              <w:rPr>
                <w:rFonts w:ascii="Times New Roman" w:hAnsi="Times New Roman" w:cs="Times New Roman"/>
              </w:rPr>
              <w:t xml:space="preserve">  9.950,00 EUR</w:t>
            </w:r>
            <w:r w:rsidR="00AE3B72" w:rsidRPr="005601F5">
              <w:rPr>
                <w:rFonts w:ascii="Times New Roman" w:hAnsi="Times New Roman" w:cs="Times New Roman"/>
              </w:rPr>
              <w:t xml:space="preserve"> </w:t>
            </w:r>
            <w:r w:rsidR="00386DB0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E03C7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 Izrada projek</w:t>
            </w:r>
            <w:r w:rsidR="00386DB0" w:rsidRPr="005601F5">
              <w:rPr>
                <w:rFonts w:ascii="Times New Roman" w:hAnsi="Times New Roman" w:cs="Times New Roman"/>
              </w:rPr>
              <w:t>tne</w:t>
            </w:r>
            <w:r w:rsidRPr="005601F5">
              <w:rPr>
                <w:rFonts w:ascii="Times New Roman" w:hAnsi="Times New Roman" w:cs="Times New Roman"/>
              </w:rPr>
              <w:t xml:space="preserve"> dokumentacij</w:t>
            </w:r>
            <w:r w:rsidR="00386DB0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Reciklažno dvorište</w:t>
            </w:r>
            <w:r w:rsidR="00386DB0" w:rsidRPr="005601F5">
              <w:rPr>
                <w:rFonts w:ascii="Times New Roman" w:hAnsi="Times New Roman" w:cs="Times New Roman"/>
              </w:rPr>
              <w:t xml:space="preserve"> i </w:t>
            </w:r>
            <w:r w:rsidR="00E03C71" w:rsidRPr="005601F5">
              <w:rPr>
                <w:rFonts w:ascii="Times New Roman" w:hAnsi="Times New Roman" w:cs="Times New Roman"/>
              </w:rPr>
              <w:t>monitoring i izrada izvješća o stanju saniranog</w:t>
            </w:r>
            <w:r w:rsidR="00386DB0" w:rsidRPr="005601F5">
              <w:rPr>
                <w:rFonts w:ascii="Times New Roman" w:hAnsi="Times New Roman" w:cs="Times New Roman"/>
              </w:rPr>
              <w:t xml:space="preserve"> odlagališta otpada Samograd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podrazumijeva sanaciju i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Jurja. Zgrada i okoliš su godinama zapušteni, bez prave namjene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nalaze se u samom središtu Starigrada, uz glavnu mjesnu šetnicu. Cilj je obnoviti zgradu sa okolišem te ih staviti u edukativno-turističku funkciju za lokalno stanovništvo i turiste i to uspostavljanjem malog interpretacijskog centra mora. Interpretacijski sadržaj Centra će obuhvatiti prirodne vrijednosti mora, potoka i rijeka u našem okruženju ali i tradicijske elemente vezane uz ribarstvo i marikulturu, također u odnosu na cjelokupni tradicijski život na podvelebitskom području. Time će ovaj sadržaj nadopuniti npr. interpretacijski sadržaj Podzemnog grada Paklenice koji će govoriti o planini te će se dodatno unaprijediti turistička ponuda destinacije.</w:t>
      </w:r>
      <w:r w:rsidR="004E7699" w:rsidRPr="005601F5"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Projekt se planira kandidirati na natječaj LAGUR-a Tri mora, Mjera 2.1."Potpora vrednovanju, zaštiti i promociji prirodne resursne osnove - rijeka, mora i </w:t>
      </w:r>
      <w:r w:rsidR="004E7699" w:rsidRPr="005601F5">
        <w:rPr>
          <w:rFonts w:ascii="Times New Roman" w:hAnsi="Times New Roman" w:cs="Times New Roman"/>
          <w:sz w:val="24"/>
          <w:szCs w:val="24"/>
        </w:rPr>
        <w:lastRenderedPageBreak/>
        <w:t>priobalja" odakle se planira financirati oko 50% ukupno potrebnih sredstava. Nositelj projekta je Općina Starigrad kao vlasnik zgrade i okoliša, uz TZO kao partnera koji će biti zadužen za izradu interpretacijskog sadržaja. Projekt predstavlja 2. fazu jer je 1. faza obuhvatila uređenje okoliša zgrade na istu temu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(tada nije bilo moguće kandidirati zgradu). Očekuje se financiranje u 100% tnom iznosu ali, kako je vrijednost investicije veća od ukupno dostupnih sredstava iz Natječaja, razliku će financirati Općina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TZO Starigrad će iz vlastitih sredstava financirati interpretacijski sadržaj. Realizacija projekta se planira tijekom 2023.</w:t>
      </w:r>
      <w:r w:rsidR="00D950D5">
        <w:rPr>
          <w:rFonts w:ascii="Times New Roman" w:hAnsi="Times New Roman" w:cs="Times New Roman"/>
          <w:sz w:val="24"/>
          <w:szCs w:val="24"/>
        </w:rPr>
        <w:t xml:space="preserve"> godine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kada projekt mora biti završen i u funkciji. </w:t>
      </w:r>
      <w:r w:rsidR="00D950D5">
        <w:rPr>
          <w:rFonts w:ascii="Times New Roman" w:hAnsi="Times New Roman" w:cs="Times New Roman"/>
          <w:sz w:val="24"/>
          <w:szCs w:val="24"/>
        </w:rPr>
        <w:t xml:space="preserve">Projektom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 Sanacija i uređenje zgrade </w:t>
      </w:r>
      <w:r w:rsidRPr="005601F5">
        <w:rPr>
          <w:rFonts w:ascii="Times New Roman" w:hAnsi="Times New Roman" w:cs="Times New Roman"/>
          <w:sz w:val="24"/>
          <w:szCs w:val="24"/>
        </w:rPr>
        <w:t>Društveni dom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Starigrad </w:t>
      </w:r>
      <w:r w:rsidR="00F9309E">
        <w:rPr>
          <w:rFonts w:ascii="Times New Roman" w:hAnsi="Times New Roman" w:cs="Times New Roman"/>
          <w:sz w:val="24"/>
          <w:szCs w:val="24"/>
        </w:rPr>
        <w:t>uređena je i opremljena zgrada koja je započeta radovima u 2022. godini, te će se u ovoj godini dovršiti planirani projekt.</w:t>
      </w:r>
    </w:p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722287" w:rsidRPr="005601F5">
              <w:rPr>
                <w:rFonts w:ascii="Times New Roman" w:hAnsi="Times New Roman" w:cs="Times New Roman"/>
              </w:rPr>
              <w:t>gradnji (NN 153/13, 20/17, 39/19</w:t>
            </w:r>
            <w:r w:rsidR="003857AA" w:rsidRPr="005601F5">
              <w:rPr>
                <w:rFonts w:ascii="Times New Roman" w:hAnsi="Times New Roman" w:cs="Times New Roman"/>
              </w:rPr>
              <w:t>, 125/16</w:t>
            </w:r>
            <w:r w:rsidR="00722287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 w:rsidR="004F03B0" w:rsidRPr="005601F5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Pr="005601F5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K100003 </w:t>
            </w:r>
            <w:r w:rsidR="004F03B0" w:rsidRPr="005601F5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5206EF" w:rsidRPr="005601F5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:rsidR="004F03B0" w:rsidRPr="005601F5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Povećanje energetske učinkovitosti infrastrukture i zgrada u javnom i privatnom sektoru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="00722287"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>491.080,00 EUR</w:t>
            </w:r>
          </w:p>
          <w:p w:rsidR="00FE1A08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46.410,00 EUR</w:t>
            </w:r>
          </w:p>
          <w:p w:rsidR="00FE1A08" w:rsidRPr="005601F5" w:rsidRDefault="003857AA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5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46.450,00 EUR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5206E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5206EF" w:rsidRPr="005601F5">
              <w:rPr>
                <w:rFonts w:ascii="Times New Roman" w:hAnsi="Times New Roman" w:cs="Times New Roman"/>
              </w:rPr>
              <w:t>uređen</w:t>
            </w:r>
            <w:r w:rsidR="003857AA" w:rsidRPr="005601F5">
              <w:rPr>
                <w:rFonts w:ascii="Times New Roman" w:hAnsi="Times New Roman" w:cs="Times New Roman"/>
              </w:rPr>
              <w:t xml:space="preserve">  Društveni dom</w:t>
            </w:r>
            <w:r w:rsidRPr="005601F5">
              <w:rPr>
                <w:rFonts w:ascii="Times New Roman" w:hAnsi="Times New Roman" w:cs="Times New Roman"/>
              </w:rPr>
              <w:t xml:space="preserve"> Starigrad; Tekuće održavanje općinskih objekata.</w:t>
            </w:r>
          </w:p>
        </w:tc>
      </w:tr>
    </w:tbl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883DBB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</w:p>
    <w:p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</w:t>
            </w:r>
            <w:r w:rsidR="00EB35B1" w:rsidRPr="005601F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601F5">
              <w:rPr>
                <w:rFonts w:ascii="Times New Roman" w:hAnsi="Times New Roman" w:cs="Times New Roman"/>
              </w:rPr>
              <w:t>, 34/18, 36/19, 98/19, 31/20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EB35B1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51FA6" w:rsidRPr="005601F5">
              <w:rPr>
                <w:rFonts w:ascii="Times New Roman" w:hAnsi="Times New Roman" w:cs="Times New Roman"/>
              </w:rPr>
              <w:t>Uređenje</w:t>
            </w:r>
            <w:r w:rsidR="002D1C26" w:rsidRPr="005601F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9309E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</w:t>
            </w:r>
            <w:r w:rsidR="00F9309E">
              <w:rPr>
                <w:rFonts w:ascii="Times New Roman" w:hAnsi="Times New Roman" w:cs="Times New Roman"/>
              </w:rPr>
              <w:t>13.272,00 EUR</w:t>
            </w:r>
          </w:p>
          <w:p w:rsidR="00EB35B1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B35B1" w:rsidRPr="005601F5">
              <w:rPr>
                <w:rFonts w:ascii="Times New Roman" w:hAnsi="Times New Roman" w:cs="Times New Roman"/>
              </w:rPr>
              <w:t>. godina =</w:t>
            </w:r>
            <w:r w:rsidR="00C3516D">
              <w:rPr>
                <w:rFonts w:ascii="Times New Roman" w:hAnsi="Times New Roman" w:cs="Times New Roman"/>
              </w:rPr>
              <w:t xml:space="preserve">   66.360,00 EUR</w:t>
            </w:r>
            <w:r w:rsidR="00151FA6" w:rsidRPr="005601F5">
              <w:rPr>
                <w:rFonts w:ascii="Times New Roman" w:hAnsi="Times New Roman" w:cs="Times New Roman"/>
              </w:rPr>
              <w:t xml:space="preserve"> </w:t>
            </w:r>
          </w:p>
          <w:p w:rsidR="00EB35B1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B35B1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145.990,00 EUR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Pokazatelj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Uređenje centra mjesta Starigrad Paklenica.</w:t>
            </w:r>
          </w:p>
        </w:tc>
      </w:tr>
    </w:tbl>
    <w:p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 i urbane opreme (klupe) u ukupnom iznosu od </w:t>
      </w:r>
      <w:r w:rsidR="00C3516D">
        <w:rPr>
          <w:rFonts w:ascii="Times New Roman" w:hAnsi="Times New Roman" w:cs="Times New Roman"/>
          <w:sz w:val="24"/>
          <w:szCs w:val="24"/>
        </w:rPr>
        <w:t>19.909,00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sadržaji</w:t>
      </w:r>
      <w:r w:rsidR="00F9309E">
        <w:rPr>
          <w:rFonts w:ascii="Times New Roman" w:hAnsi="Times New Roman" w:cs="Times New Roman"/>
          <w:sz w:val="24"/>
          <w:szCs w:val="24"/>
        </w:rPr>
        <w:t>, te na dodatne troškove koji će nastati u sklopu geodetske izmjere na području Općine Starigrad koji će se financirati iz proračuna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 w:rsidR="00710C52" w:rsidRPr="005601F5">
              <w:rPr>
                <w:rFonts w:ascii="Times New Roman" w:hAnsi="Times New Roman" w:cs="Times New Roman"/>
              </w:rPr>
              <w:t xml:space="preserve">100001 </w:t>
            </w:r>
            <w:r w:rsidRPr="005601F5">
              <w:rPr>
                <w:rFonts w:ascii="Times New Roman" w:hAnsi="Times New Roman" w:cs="Times New Roman"/>
              </w:rPr>
              <w:t>Poboljšanje sadržaja stanovanja</w:t>
            </w:r>
          </w:p>
          <w:p w:rsidR="00F9309E" w:rsidRPr="005601F5" w:rsidRDefault="00F9309E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Geodetska izmjera na području Općine Starigrad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233CEA" w:rsidP="00C3267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01C9D" w:rsidRPr="005601F5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F9309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19.909,00 EUR</w:t>
            </w:r>
          </w:p>
          <w:p w:rsidR="00F9309E" w:rsidRPr="00F9309E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7341F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6.640,00 EUR</w:t>
            </w:r>
          </w:p>
          <w:p w:rsidR="00710C52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6.630,00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Nabava dječjeg igrališta; Nabava urbane opreme.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459DA">
        <w:rPr>
          <w:rFonts w:ascii="Times New Roman" w:hAnsi="Times New Roman" w:cs="Times New Roman"/>
          <w:sz w:val="24"/>
          <w:szCs w:val="24"/>
        </w:rPr>
        <w:t>70.343,00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koji je prijavljen na podmjeru 7.4. iz programa Ruralnog razvoja RH. Predviđenim projektom planira se izgradnja i opremanje zgrade dobrovoljnog vatrogasnog društva na k.č. 2190/2 k.o. Seline.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710C52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33CEA" w:rsidRPr="00233CEA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</w:p>
          <w:p w:rsidR="00710C52" w:rsidRPr="005601F5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infrastrukture i primjenom novih tehnika i tehnologija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4756BE" w:rsidRPr="005601F5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33CEA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70.343,00 EUR</w:t>
            </w:r>
          </w:p>
          <w:p w:rsidR="00710C52" w:rsidRPr="005601F5" w:rsidRDefault="00233CEA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99.540,00 EUR</w:t>
            </w:r>
          </w:p>
          <w:p w:rsidR="00710C52" w:rsidRPr="005601F5" w:rsidRDefault="00233CEA" w:rsidP="00233C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139.360,00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3CEA">
        <w:rPr>
          <w:rFonts w:ascii="Times New Roman" w:hAnsi="Times New Roman" w:cs="Times New Roman"/>
          <w:sz w:val="24"/>
          <w:szCs w:val="24"/>
        </w:rPr>
        <w:t>9.290,00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</w:p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 xml:space="preserve">Zakon o </w:t>
            </w:r>
            <w:r w:rsidR="00351370" w:rsidRPr="005601F5">
              <w:rPr>
                <w:rFonts w:ascii="Times New Roman" w:hAnsi="Times New Roman" w:cs="Times New Roman"/>
              </w:rPr>
              <w:t>sustavu civilne zašti</w:t>
            </w:r>
            <w:r w:rsidR="00BB061F" w:rsidRPr="005601F5">
              <w:rPr>
                <w:rFonts w:ascii="Times New Roman" w:hAnsi="Times New Roman" w:cs="Times New Roman"/>
              </w:rPr>
              <w:t>t</w:t>
            </w:r>
            <w:r w:rsidR="00351370" w:rsidRPr="005601F5">
              <w:rPr>
                <w:rFonts w:ascii="Times New Roman" w:hAnsi="Times New Roman" w:cs="Times New Roman"/>
              </w:rPr>
              <w:t>e (NN 82/15, 118/18</w:t>
            </w:r>
            <w:r w:rsidR="00BB061F" w:rsidRPr="005601F5">
              <w:rPr>
                <w:rFonts w:ascii="Times New Roman" w:hAnsi="Times New Roman" w:cs="Times New Roman"/>
              </w:rPr>
              <w:t>, 31/20</w:t>
            </w:r>
            <w:r w:rsidR="00F7341F" w:rsidRPr="005601F5">
              <w:rPr>
                <w:rFonts w:ascii="Times New Roman" w:hAnsi="Times New Roman" w:cs="Times New Roman"/>
              </w:rPr>
              <w:t>, 20/21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="00351370" w:rsidRPr="005601F5">
              <w:rPr>
                <w:rFonts w:ascii="Times New Roman" w:hAnsi="Times New Roman" w:cs="Times New Roman"/>
              </w:rPr>
              <w:t>)</w:t>
            </w:r>
          </w:p>
          <w:p w:rsidR="004756BE" w:rsidRPr="005601F5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Hrvatskoj gorskoj službi spašavanja (NN 79/06, 110/15)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601F5">
              <w:rPr>
                <w:rFonts w:ascii="Times New Roman" w:hAnsi="Times New Roman" w:cs="Times New Roman"/>
              </w:rPr>
              <w:t>Civilna zaštita</w:t>
            </w:r>
          </w:p>
          <w:p w:rsidR="004756BE" w:rsidRPr="005601F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233CEA" w:rsidP="00351370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351370"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33CEA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33CEA">
              <w:rPr>
                <w:rFonts w:ascii="Times New Roman" w:hAnsi="Times New Roman" w:cs="Times New Roman"/>
              </w:rPr>
              <w:t>9.290,00 EUR</w:t>
            </w:r>
          </w:p>
          <w:p w:rsidR="004756BE" w:rsidRPr="005601F5" w:rsidRDefault="00233CEA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B061F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9.290,00 EUR</w:t>
            </w:r>
          </w:p>
          <w:p w:rsidR="004756BE" w:rsidRPr="005601F5" w:rsidRDefault="00233CEA" w:rsidP="00233C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4756B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9.290,00 EUR</w:t>
            </w:r>
          </w:p>
        </w:tc>
      </w:tr>
      <w:tr w:rsidR="004756BE" w:rsidRPr="005601F5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459DA">
        <w:rPr>
          <w:rFonts w:ascii="Times New Roman" w:hAnsi="Times New Roman" w:cs="Times New Roman"/>
          <w:sz w:val="24"/>
          <w:szCs w:val="24"/>
        </w:rPr>
        <w:t>879.287,00 EUR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</w:t>
      </w:r>
      <w:r w:rsidR="008459DA">
        <w:rPr>
          <w:rFonts w:ascii="Times New Roman" w:hAnsi="Times New Roman" w:cs="Times New Roman"/>
          <w:sz w:val="24"/>
          <w:szCs w:val="24"/>
        </w:rPr>
        <w:t>.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>, veterinarsko h</w:t>
      </w:r>
      <w:r w:rsidR="008459DA"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</w:p>
    <w:p w:rsidR="00351370" w:rsidRPr="005601F5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601F5">
              <w:rPr>
                <w:rFonts w:ascii="Times New Roman" w:hAnsi="Times New Roman" w:cs="Times New Roman"/>
              </w:rPr>
              <w:t>, 114/18, 47/20</w:t>
            </w:r>
            <w:r w:rsidR="00F7341F" w:rsidRPr="005601F5">
              <w:rPr>
                <w:rFonts w:ascii="Times New Roman" w:hAnsi="Times New Roman" w:cs="Times New Roman"/>
              </w:rPr>
              <w:t>, 134/20</w:t>
            </w:r>
            <w:r w:rsidR="00233CEA">
              <w:rPr>
                <w:rFonts w:ascii="Times New Roman" w:hAnsi="Times New Roman" w:cs="Times New Roman"/>
              </w:rPr>
              <w:t>, 143/21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233CEA" w:rsidRDefault="00181247" w:rsidP="00233C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601F5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601F5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AC3392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razvoj male ko</w:t>
            </w:r>
            <w:r>
              <w:rPr>
                <w:rFonts w:ascii="Times New Roman" w:hAnsi="Times New Roman" w:cs="Times New Roman"/>
              </w:rPr>
              <w:t xml:space="preserve">munalne infrastrukture i usluga; </w:t>
            </w:r>
            <w:r w:rsidR="00AC3392"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879.287,00 EUR</w:t>
            </w:r>
          </w:p>
          <w:p w:rsidR="00351370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8459DA">
              <w:rPr>
                <w:rFonts w:ascii="Times New Roman" w:hAnsi="Times New Roman" w:cs="Times New Roman"/>
              </w:rPr>
              <w:t>761.840,00 EUR</w:t>
            </w:r>
          </w:p>
          <w:p w:rsidR="00351370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759.820,00 EUR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Pokazatelj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 xml:space="preserve">Održavanje komunalne infrastrukture u urednom stanju i unapređenje postojećeg </w:t>
            </w:r>
            <w:r w:rsidRPr="005601F5">
              <w:rPr>
                <w:rFonts w:ascii="Times New Roman" w:hAnsi="Times New Roman" w:cs="Times New Roman"/>
              </w:rPr>
              <w:lastRenderedPageBreak/>
              <w:t>stanja.</w:t>
            </w:r>
          </w:p>
        </w:tc>
      </w:tr>
    </w:tbl>
    <w:p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Pr="005601F5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plaža Jaz, Rekonstrukcija nerazvrstanih cesta, Središnji obalni pojas, izgradnja javne rasvjete,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Projekt uređenja male komunalne infrastrukture na šumskom području,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Sanacija ulica 112. Brigade, 164. Brigade i Jose Dokoza, Dječje igralište na području </w:t>
      </w:r>
      <w:r w:rsidR="00D62DDF">
        <w:rPr>
          <w:rFonts w:ascii="Times New Roman" w:hAnsi="Times New Roman" w:cs="Times New Roman"/>
          <w:sz w:val="24"/>
          <w:szCs w:val="24"/>
        </w:rPr>
        <w:t>Općine Starigrad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Ugostiteljsko turistička zona Pod Bucića Podi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te Izradu projektnih dokumentacija za buduće projekte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8459DA">
        <w:rPr>
          <w:rFonts w:ascii="Times New Roman" w:hAnsi="Times New Roman" w:cs="Times New Roman"/>
          <w:sz w:val="24"/>
          <w:szCs w:val="24"/>
        </w:rPr>
        <w:t>1.347.133,00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601F5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K100002 Groblje </w:t>
            </w:r>
            <w:r w:rsidR="00C0440E" w:rsidRPr="005601F5">
              <w:rPr>
                <w:rFonts w:ascii="Times New Roman" w:hAnsi="Times New Roman" w:cs="Times New Roman"/>
              </w:rPr>
              <w:t xml:space="preserve">i mrtvačnica </w:t>
            </w:r>
            <w:r w:rsidRPr="005601F5">
              <w:rPr>
                <w:rFonts w:ascii="Times New Roman" w:hAnsi="Times New Roman" w:cs="Times New Roman"/>
              </w:rPr>
              <w:t>Seline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Rekonstrukcija nerazvrstanih cesta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 xml:space="preserve">na području </w:t>
            </w:r>
            <w:r w:rsidR="00D62DDF">
              <w:rPr>
                <w:rFonts w:ascii="Times New Roman" w:hAnsi="Times New Roman" w:cs="Times New Roman"/>
              </w:rPr>
              <w:t>Općine Starigrad</w:t>
            </w:r>
          </w:p>
          <w:p w:rsidR="005354BA" w:rsidRPr="005601F5" w:rsidRDefault="005354BA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K100013 Projekt uređenja male KI na šumskom području</w:t>
            </w:r>
          </w:p>
          <w:p w:rsidR="00181247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5601F5">
              <w:rPr>
                <w:rFonts w:ascii="Times New Roman" w:hAnsi="Times New Roman" w:cs="Times New Roman"/>
              </w:rPr>
              <w:t>prijavu projekata</w:t>
            </w:r>
          </w:p>
          <w:p w:rsidR="0031726E" w:rsidRPr="005601F5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D62DDF" w:rsidP="00181247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247" w:rsidRPr="005601F5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601F5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5F257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1.347.133,00 EUR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4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 xml:space="preserve">   741.255,00 EUR</w:t>
            </w:r>
          </w:p>
          <w:p w:rsidR="005F257C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="00C0440E"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 xml:space="preserve">   789.776,00 EUR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Izgradnja</w:t>
            </w:r>
            <w:r w:rsidR="005F257C" w:rsidRPr="005601F5">
              <w:rPr>
                <w:rFonts w:ascii="Times New Roman" w:hAnsi="Times New Roman" w:cs="Times New Roman"/>
              </w:rPr>
              <w:t xml:space="preserve"> komunalne infrastrukture </w:t>
            </w:r>
            <w:r w:rsidRPr="005601F5">
              <w:rPr>
                <w:rFonts w:ascii="Times New Roman" w:hAnsi="Times New Roman" w:cs="Times New Roman"/>
              </w:rPr>
              <w:t>kroz predlož</w:t>
            </w:r>
            <w:r w:rsidR="000B55C8" w:rsidRPr="005601F5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komunalnom gospodarstvu (NN 68/18, 110/18</w:t>
            </w:r>
            <w:r w:rsidR="00AB0A71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prostornom uređenju (NN 153/13, 65/17, 114/18, 39/19, 98/19)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5601F5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26.545,00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26.540,00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26.540,00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62DDF">
        <w:rPr>
          <w:rFonts w:ascii="Times New Roman" w:hAnsi="Times New Roman" w:cs="Times New Roman"/>
          <w:sz w:val="24"/>
          <w:szCs w:val="24"/>
        </w:rPr>
        <w:t>19.908,00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</w:t>
            </w:r>
            <w:r w:rsidR="00C0440E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E5B3D" w:rsidRPr="005601F5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D62DDF">
              <w:rPr>
                <w:rFonts w:ascii="Times New Roman" w:hAnsi="Times New Roman" w:cs="Times New Roman"/>
              </w:rPr>
              <w:t>19.908,00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19.910,00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19.910,00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 w:rsidR="008459DA">
        <w:rPr>
          <w:rFonts w:ascii="Times New Roman" w:hAnsi="Times New Roman" w:cs="Times New Roman"/>
          <w:sz w:val="24"/>
          <w:szCs w:val="24"/>
        </w:rPr>
        <w:t>19.908,00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C0440E" w:rsidRPr="00D62DDF" w:rsidRDefault="00C0440E" w:rsidP="00D62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:rsidR="00C0440E" w:rsidRPr="005601F5" w:rsidRDefault="00C0440E" w:rsidP="00D62D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D62DDF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DDF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DF4B74"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19.908,00 EUR</w:t>
            </w:r>
          </w:p>
          <w:p w:rsidR="00C0440E" w:rsidRPr="005601F5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6.640,00 EUR</w:t>
            </w:r>
          </w:p>
          <w:p w:rsidR="00C0440E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F4B74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6.640,00 EUR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F4B74" w:rsidRPr="005601F5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62DDF">
        <w:rPr>
          <w:rFonts w:ascii="Times New Roman" w:hAnsi="Times New Roman" w:cs="Times New Roman"/>
          <w:sz w:val="24"/>
          <w:szCs w:val="24"/>
        </w:rPr>
        <w:t>15.263,00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Arheološki muzej Zadar i Turističku zajednicu Općine Starigrad. 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DF4B74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Pr="005601F5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D62DDF" w:rsidP="00D7514E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Unapređenje sustava upravljanja, očuvanja i valorizacije kulturne i povijesne baštine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Poboljšanje kvalitete i dostupnosti kulturnih sadržaja izvan urbanih područja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5601F5">
              <w:rPr>
                <w:rFonts w:ascii="Times New Roman" w:hAnsi="Times New Roman" w:cs="Times New Roman"/>
              </w:rPr>
              <w:t>nje</w:t>
            </w:r>
            <w:r w:rsidR="00E60E9C" w:rsidRPr="005601F5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62DDF">
              <w:rPr>
                <w:rFonts w:ascii="Times New Roman" w:hAnsi="Times New Roman" w:cs="Times New Roman"/>
              </w:rPr>
              <w:t>15.263,00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15.260,00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15.260,00 EUR</w:t>
            </w:r>
          </w:p>
        </w:tc>
      </w:tr>
      <w:tr w:rsidR="003E5B3D" w:rsidRPr="005601F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5601F5">
              <w:rPr>
                <w:rFonts w:ascii="Times New Roman" w:hAnsi="Times New Roman" w:cs="Times New Roman"/>
              </w:rPr>
              <w:t xml:space="preserve"> P</w:t>
            </w:r>
            <w:r w:rsidRPr="005601F5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5601F5">
              <w:rPr>
                <w:rFonts w:ascii="Times New Roman" w:hAnsi="Times New Roman" w:cs="Times New Roman"/>
              </w:rPr>
              <w:t xml:space="preserve"> V</w:t>
            </w:r>
            <w:r w:rsidRPr="005601F5">
              <w:rPr>
                <w:rFonts w:ascii="Times New Roman" w:hAnsi="Times New Roman" w:cs="Times New Roman"/>
              </w:rPr>
              <w:t>eć</w:t>
            </w:r>
            <w:r w:rsidR="00D7514E" w:rsidRPr="005601F5">
              <w:rPr>
                <w:rFonts w:ascii="Times New Roman" w:hAnsi="Times New Roman" w:cs="Times New Roman"/>
              </w:rPr>
              <w:t>a zaštita tradicije i baštine, B</w:t>
            </w:r>
            <w:r w:rsidRPr="005601F5">
              <w:rPr>
                <w:rFonts w:ascii="Times New Roman" w:hAnsi="Times New Roman" w:cs="Times New Roman"/>
              </w:rPr>
              <w:t>roj organiziranih nastupa</w:t>
            </w:r>
            <w:r w:rsidR="00D7514E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 w:rsidR="001902D9">
        <w:rPr>
          <w:rFonts w:ascii="Times New Roman" w:hAnsi="Times New Roman" w:cs="Times New Roman"/>
          <w:sz w:val="24"/>
          <w:szCs w:val="24"/>
        </w:rPr>
        <w:t>, te na projekt uređenja igrališta u Selinama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</w:t>
      </w:r>
      <w:r w:rsidR="001902D9">
        <w:rPr>
          <w:rFonts w:ascii="Times New Roman" w:hAnsi="Times New Roman" w:cs="Times New Roman"/>
          <w:sz w:val="24"/>
          <w:szCs w:val="24"/>
        </w:rPr>
        <w:t xml:space="preserve"> ukupnom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1902D9">
        <w:rPr>
          <w:rFonts w:ascii="Times New Roman" w:hAnsi="Times New Roman" w:cs="Times New Roman"/>
          <w:sz w:val="24"/>
          <w:szCs w:val="24"/>
        </w:rPr>
        <w:t>104.188,00</w:t>
      </w:r>
      <w:r w:rsidR="00D62DDF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</w:t>
            </w:r>
            <w:r w:rsidR="008629AC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5601F5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sportu (NN 71/06, 150/08, 124/10, 124/11, 86/12, 94/13, 85/15, 19/16, 98/19</w:t>
            </w:r>
            <w:r w:rsidR="00180DC0" w:rsidRPr="005601F5">
              <w:rPr>
                <w:rFonts w:ascii="Times New Roman" w:hAnsi="Times New Roman" w:cs="Times New Roman"/>
              </w:rPr>
              <w:t>, 47/20, 77/20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1902D9" w:rsidRPr="005601F5" w:rsidRDefault="001902D9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vanjskog sportskog igrališta Seline</w:t>
            </w: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D62DDF" w:rsidP="00E60E9C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Poticanje i unaprjeđenje dostupnosti rekreacije i tjelesnog vježbanja građana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5601F5">
              <w:rPr>
                <w:rFonts w:ascii="Times New Roman" w:hAnsi="Times New Roman" w:cs="Times New Roman"/>
              </w:rPr>
              <w:t>U</w:t>
            </w:r>
            <w:r w:rsidR="00E60E9C" w:rsidRPr="005601F5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104.188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E60E9C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17.920,00 EUR</w:t>
            </w:r>
          </w:p>
          <w:p w:rsidR="00E60E9C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17.920,00 EUR</w:t>
            </w:r>
          </w:p>
        </w:tc>
      </w:tr>
      <w:tr w:rsidR="00E60E9C" w:rsidRPr="005601F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43.268,00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459DA"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5601F5">
              <w:rPr>
                <w:rFonts w:ascii="Times New Roman" w:hAnsi="Times New Roman" w:cs="Times New Roman"/>
              </w:rPr>
              <w:t>, 64/20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5601F5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5601F5" w:rsidRDefault="008629AC" w:rsidP="006E169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5601F5">
              <w:rPr>
                <w:rFonts w:ascii="Times New Roman" w:hAnsi="Times New Roman" w:cs="Times New Roman"/>
              </w:rPr>
              <w:t>jih škola za školsku godinu 202</w:t>
            </w:r>
            <w:r w:rsidR="006E1699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./20</w:t>
            </w:r>
            <w:r w:rsidR="006E1699">
              <w:rPr>
                <w:rFonts w:ascii="Times New Roman" w:hAnsi="Times New Roman" w:cs="Times New Roman"/>
              </w:rPr>
              <w:t>23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8629AC"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629AC" w:rsidRPr="005601F5">
              <w:rPr>
                <w:rFonts w:ascii="Times New Roman" w:hAnsi="Times New Roman" w:cs="Times New Roman"/>
              </w:rPr>
              <w:t>. godina =</w:t>
            </w:r>
            <w:r w:rsidR="0046002C"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43.268,00 EUR</w:t>
            </w:r>
          </w:p>
          <w:p w:rsidR="008629AC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43.340,00 EUR</w:t>
            </w:r>
          </w:p>
          <w:p w:rsidR="008629AC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43.340,00 EUR</w:t>
            </w:r>
          </w:p>
        </w:tc>
      </w:tr>
      <w:tr w:rsidR="008629AC" w:rsidRPr="005601F5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5601F5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</w:t>
      </w:r>
      <w:r w:rsidR="006E1699">
        <w:rPr>
          <w:rFonts w:ascii="Times New Roman" w:hAnsi="Times New Roman" w:cs="Times New Roman"/>
          <w:sz w:val="24"/>
          <w:szCs w:val="24"/>
        </w:rPr>
        <w:t>217.002,00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6E1699">
        <w:rPr>
          <w:rFonts w:ascii="Times New Roman" w:hAnsi="Times New Roman" w:cs="Times New Roman"/>
          <w:sz w:val="24"/>
          <w:szCs w:val="24"/>
        </w:rPr>
        <w:t>185.812,00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dok ostatak 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699" w:rsidRPr="005601F5" w:rsidRDefault="006E169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:rsidTr="00246B8C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5601F5">
              <w:rPr>
                <w:rFonts w:ascii="Times New Roman" w:eastAsia="Calibri" w:hAnsi="Times New Roman" w:cs="Times New Roman"/>
              </w:rPr>
              <w:t>, 98/19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E1699" w:rsidP="00C3267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BA7361"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217.002,00 EUR</w:t>
            </w:r>
          </w:p>
          <w:p w:rsidR="00BA7361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217.002,00 EUR</w:t>
            </w:r>
          </w:p>
          <w:p w:rsidR="00BA7361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217.002,00 EUR</w:t>
            </w:r>
          </w:p>
        </w:tc>
      </w:tr>
      <w:tr w:rsidR="00BA7361" w:rsidRPr="005601F5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="001B7183" w:rsidRPr="005601F5">
              <w:rPr>
                <w:rFonts w:ascii="Times New Roman" w:hAnsi="Times New Roman" w:cs="Times New Roman"/>
              </w:rPr>
              <w:t>roj upisane djece</w:t>
            </w:r>
            <w:r w:rsidRPr="005601F5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5601F5">
              <w:rPr>
                <w:rFonts w:ascii="Times New Roman" w:hAnsi="Times New Roman" w:cs="Times New Roman"/>
              </w:rPr>
              <w:t>kroz kvalitetne</w:t>
            </w:r>
            <w:r w:rsidR="001B7183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program</w:t>
            </w:r>
            <w:r w:rsidR="008C5F3F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459DA" w:rsidRPr="008459DA">
        <w:rPr>
          <w:rFonts w:ascii="Times New Roman" w:hAnsi="Times New Roman" w:cs="Times New Roman"/>
          <w:sz w:val="24"/>
          <w:szCs w:val="24"/>
        </w:rPr>
        <w:t>60.390,00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te sufinanciranje prijevoza  vode. </w:t>
      </w:r>
    </w:p>
    <w:p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socijalnoj skrbi (NN </w:t>
            </w:r>
            <w:r w:rsidR="006E1699">
              <w:rPr>
                <w:rFonts w:ascii="Times New Roman" w:hAnsi="Times New Roman" w:cs="Times New Roman"/>
              </w:rPr>
              <w:t>18/22, 46/22, 119/22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5601F5">
              <w:rPr>
                <w:rFonts w:ascii="Times New Roman" w:hAnsi="Times New Roman" w:cs="Times New Roman"/>
              </w:rPr>
              <w:t xml:space="preserve"> </w:t>
            </w:r>
            <w:r w:rsidR="002A2378" w:rsidRPr="005601F5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5601F5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</w:t>
            </w:r>
            <w:r w:rsidR="00246B8C" w:rsidRPr="005601F5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 w:rsidRPr="005601F5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5601F5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5601F5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:rsidR="00BA7361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699">
              <w:rPr>
                <w:rFonts w:ascii="Times New Roman" w:hAnsi="Times New Roman" w:cs="Times New Roman"/>
              </w:rPr>
              <w:t>odručjima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Razvoj i unaprjeđenje sustava potpora i programa teme</w:t>
            </w:r>
            <w:r>
              <w:rPr>
                <w:rFonts w:ascii="Times New Roman" w:hAnsi="Times New Roman" w:cs="Times New Roman"/>
              </w:rPr>
              <w:t xml:space="preserve">ljenim na istraživanju životnih </w:t>
            </w:r>
            <w:r w:rsidRPr="006E1699">
              <w:rPr>
                <w:rFonts w:ascii="Times New Roman" w:hAnsi="Times New Roman" w:cs="Times New Roman"/>
              </w:rPr>
              <w:t>navika i stavova mladih obitelji o demografskim kretanjima u Zadarskoj ž</w:t>
            </w:r>
            <w:r>
              <w:rPr>
                <w:rFonts w:ascii="Times New Roman" w:hAnsi="Times New Roman" w:cs="Times New Roman"/>
              </w:rPr>
              <w:t xml:space="preserve">upaniji; </w:t>
            </w:r>
            <w:r w:rsidR="00BA7361" w:rsidRPr="005601F5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5601F5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60.390,00 EUR</w:t>
            </w:r>
          </w:p>
          <w:p w:rsidR="00BA7361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60.380,00 EUR</w:t>
            </w:r>
          </w:p>
          <w:p w:rsidR="00BA7361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60.380,00 EUR</w:t>
            </w:r>
          </w:p>
        </w:tc>
      </w:tr>
      <w:tr w:rsidR="00BA7361" w:rsidRPr="005601F5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7.963,00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</w:p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0100 </w:t>
            </w:r>
            <w:r w:rsidR="00C32676" w:rsidRPr="00180057">
              <w:rPr>
                <w:rFonts w:ascii="Times New Roman" w:hAnsi="Times New Roman" w:cs="Times New Roman"/>
              </w:rPr>
              <w:t>Zdravstvena</w:t>
            </w:r>
            <w:r w:rsidRPr="00180057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730C2F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180057">
              <w:rPr>
                <w:rFonts w:ascii="Times New Roman" w:hAnsi="Times New Roman" w:cs="Times New Roman"/>
              </w:rPr>
              <w:t>, 125/19</w:t>
            </w:r>
            <w:r w:rsidR="00D37ED6" w:rsidRPr="00180057">
              <w:rPr>
                <w:rFonts w:ascii="Times New Roman" w:hAnsi="Times New Roman" w:cs="Times New Roman"/>
              </w:rPr>
              <w:t>, 147/20</w:t>
            </w:r>
            <w:r w:rsidR="006E1699">
              <w:rPr>
                <w:rFonts w:ascii="Times New Roman" w:hAnsi="Times New Roman" w:cs="Times New Roman"/>
              </w:rPr>
              <w:t>, 119/22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C32676" w:rsidRPr="00180057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Ugovor </w:t>
            </w:r>
            <w:r w:rsidR="00D6016F" w:rsidRPr="00180057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180057">
              <w:rPr>
                <w:rFonts w:ascii="Times New Roman" w:hAnsi="Times New Roman" w:cs="Times New Roman"/>
              </w:rPr>
              <w:t xml:space="preserve"> </w:t>
            </w:r>
            <w:r w:rsidR="00D6016F" w:rsidRPr="00180057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180057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Razvoj i modernizacija zdravstvene infrastrukture i usluga u skladu sa standardima</w:t>
            </w:r>
          </w:p>
          <w:p w:rsidR="00730C2F" w:rsidRPr="00180057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kvalitete i potrebama zajednice, i razvoj telemedicine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Unaprjeđenje razine zdravstvene zaštite i socijaln</w:t>
            </w:r>
            <w:r>
              <w:rPr>
                <w:rFonts w:ascii="Times New Roman" w:hAnsi="Times New Roman" w:cs="Times New Roman"/>
              </w:rPr>
              <w:t xml:space="preserve">e skrbi na otocima i u ruralnim </w:t>
            </w:r>
            <w:r w:rsidRPr="006E1699">
              <w:rPr>
                <w:rFonts w:ascii="Times New Roman" w:hAnsi="Times New Roman" w:cs="Times New Roman"/>
              </w:rPr>
              <w:t>područjima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C32676"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7.963,00 EUR</w:t>
            </w:r>
          </w:p>
          <w:p w:rsidR="00730C2F" w:rsidRPr="00180057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7.960,00 EUR</w:t>
            </w:r>
          </w:p>
          <w:p w:rsidR="00730C2F" w:rsidRPr="00180057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7.960,00 EUR</w:t>
            </w:r>
          </w:p>
        </w:tc>
      </w:tr>
      <w:tr w:rsidR="00730C2F" w:rsidRPr="005601F5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1800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EA4560"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E1699">
        <w:rPr>
          <w:rFonts w:ascii="Times New Roman" w:hAnsi="Times New Roman" w:cs="Times New Roman"/>
          <w:sz w:val="24"/>
          <w:szCs w:val="24"/>
        </w:rPr>
        <w:t>3.982,00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828CE" w:rsidRPr="002828CE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:rsidR="00C32676" w:rsidRPr="00180057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32676"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="00C32676"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3.982,00 EUR</w:t>
            </w:r>
          </w:p>
          <w:p w:rsidR="00C32676" w:rsidRPr="00180057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3.980,00 EUR</w:t>
            </w:r>
          </w:p>
          <w:p w:rsidR="00C32676" w:rsidRPr="00180057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3.980,00 EUR</w:t>
            </w:r>
          </w:p>
        </w:tc>
      </w:tr>
      <w:tr w:rsidR="00C32676" w:rsidRPr="005601F5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14422"/>
    <w:rsid w:val="00026654"/>
    <w:rsid w:val="000276DD"/>
    <w:rsid w:val="00036D59"/>
    <w:rsid w:val="000413F1"/>
    <w:rsid w:val="00056F02"/>
    <w:rsid w:val="00070835"/>
    <w:rsid w:val="00086915"/>
    <w:rsid w:val="000B55C8"/>
    <w:rsid w:val="000D5D49"/>
    <w:rsid w:val="000E4156"/>
    <w:rsid w:val="000F332F"/>
    <w:rsid w:val="00105A11"/>
    <w:rsid w:val="001077ED"/>
    <w:rsid w:val="00112256"/>
    <w:rsid w:val="001266FC"/>
    <w:rsid w:val="001426AF"/>
    <w:rsid w:val="00151FA6"/>
    <w:rsid w:val="00161F09"/>
    <w:rsid w:val="00163567"/>
    <w:rsid w:val="001746D9"/>
    <w:rsid w:val="00180057"/>
    <w:rsid w:val="00180DC0"/>
    <w:rsid w:val="00181247"/>
    <w:rsid w:val="00181858"/>
    <w:rsid w:val="001837B7"/>
    <w:rsid w:val="001902D9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22378"/>
    <w:rsid w:val="00223C96"/>
    <w:rsid w:val="00233CEA"/>
    <w:rsid w:val="0023488F"/>
    <w:rsid w:val="00246B8C"/>
    <w:rsid w:val="002536DF"/>
    <w:rsid w:val="00260EBE"/>
    <w:rsid w:val="00265E92"/>
    <w:rsid w:val="0027352E"/>
    <w:rsid w:val="002828CE"/>
    <w:rsid w:val="0028485C"/>
    <w:rsid w:val="002975B3"/>
    <w:rsid w:val="002A2378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726E"/>
    <w:rsid w:val="003173B6"/>
    <w:rsid w:val="00322DC8"/>
    <w:rsid w:val="00330E1A"/>
    <w:rsid w:val="00332F49"/>
    <w:rsid w:val="00336A02"/>
    <w:rsid w:val="003401AD"/>
    <w:rsid w:val="00341215"/>
    <w:rsid w:val="003471D7"/>
    <w:rsid w:val="00351370"/>
    <w:rsid w:val="0035377F"/>
    <w:rsid w:val="00363357"/>
    <w:rsid w:val="0038157B"/>
    <w:rsid w:val="003832EE"/>
    <w:rsid w:val="00384DD1"/>
    <w:rsid w:val="003857AA"/>
    <w:rsid w:val="00386DB0"/>
    <w:rsid w:val="003876B2"/>
    <w:rsid w:val="00390E37"/>
    <w:rsid w:val="003A3EA4"/>
    <w:rsid w:val="003B0C75"/>
    <w:rsid w:val="003B22C3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7401C"/>
    <w:rsid w:val="004756BE"/>
    <w:rsid w:val="004872B7"/>
    <w:rsid w:val="004C04DE"/>
    <w:rsid w:val="004C0FF8"/>
    <w:rsid w:val="004C642C"/>
    <w:rsid w:val="004C70C8"/>
    <w:rsid w:val="004D3265"/>
    <w:rsid w:val="004E2AD7"/>
    <w:rsid w:val="004E5D88"/>
    <w:rsid w:val="004E7699"/>
    <w:rsid w:val="004F03B0"/>
    <w:rsid w:val="004F7510"/>
    <w:rsid w:val="00502EAC"/>
    <w:rsid w:val="00504A02"/>
    <w:rsid w:val="005073E0"/>
    <w:rsid w:val="005078C4"/>
    <w:rsid w:val="005158AB"/>
    <w:rsid w:val="005206EF"/>
    <w:rsid w:val="00531272"/>
    <w:rsid w:val="005354BA"/>
    <w:rsid w:val="00537AA1"/>
    <w:rsid w:val="005423A0"/>
    <w:rsid w:val="005431CD"/>
    <w:rsid w:val="0054463F"/>
    <w:rsid w:val="00546409"/>
    <w:rsid w:val="005563FA"/>
    <w:rsid w:val="005601F5"/>
    <w:rsid w:val="0056331C"/>
    <w:rsid w:val="00581D4C"/>
    <w:rsid w:val="00582A2D"/>
    <w:rsid w:val="005A2863"/>
    <w:rsid w:val="005A3DFC"/>
    <w:rsid w:val="005B4573"/>
    <w:rsid w:val="005D6E85"/>
    <w:rsid w:val="005E5140"/>
    <w:rsid w:val="005E56A1"/>
    <w:rsid w:val="005F257C"/>
    <w:rsid w:val="005F6A2A"/>
    <w:rsid w:val="005F6ABD"/>
    <w:rsid w:val="00600E90"/>
    <w:rsid w:val="00620A77"/>
    <w:rsid w:val="0064064E"/>
    <w:rsid w:val="00653A85"/>
    <w:rsid w:val="0068002E"/>
    <w:rsid w:val="00682562"/>
    <w:rsid w:val="00684E34"/>
    <w:rsid w:val="006878C6"/>
    <w:rsid w:val="006C513F"/>
    <w:rsid w:val="006C5E3C"/>
    <w:rsid w:val="006D563A"/>
    <w:rsid w:val="006E1699"/>
    <w:rsid w:val="006E1FDF"/>
    <w:rsid w:val="006F0BD2"/>
    <w:rsid w:val="006F4AD7"/>
    <w:rsid w:val="006F54BC"/>
    <w:rsid w:val="006F6330"/>
    <w:rsid w:val="006F7B4A"/>
    <w:rsid w:val="00700CB1"/>
    <w:rsid w:val="00710C52"/>
    <w:rsid w:val="00722287"/>
    <w:rsid w:val="00730C2F"/>
    <w:rsid w:val="00736801"/>
    <w:rsid w:val="00746830"/>
    <w:rsid w:val="007510CD"/>
    <w:rsid w:val="00760F94"/>
    <w:rsid w:val="00762141"/>
    <w:rsid w:val="0076580C"/>
    <w:rsid w:val="00766F9E"/>
    <w:rsid w:val="00792301"/>
    <w:rsid w:val="00796E71"/>
    <w:rsid w:val="007D29D2"/>
    <w:rsid w:val="0080449E"/>
    <w:rsid w:val="00817B10"/>
    <w:rsid w:val="00831B00"/>
    <w:rsid w:val="008459DA"/>
    <w:rsid w:val="0085047A"/>
    <w:rsid w:val="00857B9A"/>
    <w:rsid w:val="008629AC"/>
    <w:rsid w:val="00866996"/>
    <w:rsid w:val="00867E91"/>
    <w:rsid w:val="00883DBB"/>
    <w:rsid w:val="008B5291"/>
    <w:rsid w:val="008C5F3F"/>
    <w:rsid w:val="008D36C2"/>
    <w:rsid w:val="008D71CF"/>
    <w:rsid w:val="008E074D"/>
    <w:rsid w:val="008E4D45"/>
    <w:rsid w:val="008F0B75"/>
    <w:rsid w:val="00903623"/>
    <w:rsid w:val="00906238"/>
    <w:rsid w:val="009322BE"/>
    <w:rsid w:val="00933516"/>
    <w:rsid w:val="00945AEB"/>
    <w:rsid w:val="009707D4"/>
    <w:rsid w:val="00987112"/>
    <w:rsid w:val="009874B8"/>
    <w:rsid w:val="00990DD1"/>
    <w:rsid w:val="00993B4B"/>
    <w:rsid w:val="00993D89"/>
    <w:rsid w:val="009A7F3D"/>
    <w:rsid w:val="009B3D50"/>
    <w:rsid w:val="009B7B44"/>
    <w:rsid w:val="009C11FA"/>
    <w:rsid w:val="009D488B"/>
    <w:rsid w:val="009D7068"/>
    <w:rsid w:val="009E552C"/>
    <w:rsid w:val="00A05F47"/>
    <w:rsid w:val="00A117EA"/>
    <w:rsid w:val="00A12B36"/>
    <w:rsid w:val="00A27C57"/>
    <w:rsid w:val="00A351E2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B01955"/>
    <w:rsid w:val="00B03D22"/>
    <w:rsid w:val="00B05F1C"/>
    <w:rsid w:val="00B23A5C"/>
    <w:rsid w:val="00B261C4"/>
    <w:rsid w:val="00B32378"/>
    <w:rsid w:val="00B526FC"/>
    <w:rsid w:val="00B6117A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C59B6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6127"/>
    <w:rsid w:val="00C32676"/>
    <w:rsid w:val="00C33C39"/>
    <w:rsid w:val="00C33EDC"/>
    <w:rsid w:val="00C3516D"/>
    <w:rsid w:val="00C45392"/>
    <w:rsid w:val="00C61BFD"/>
    <w:rsid w:val="00C64E34"/>
    <w:rsid w:val="00C7496C"/>
    <w:rsid w:val="00C83EB2"/>
    <w:rsid w:val="00C85475"/>
    <w:rsid w:val="00C903C3"/>
    <w:rsid w:val="00CA3901"/>
    <w:rsid w:val="00CA7963"/>
    <w:rsid w:val="00CB1916"/>
    <w:rsid w:val="00CB6F93"/>
    <w:rsid w:val="00CD6552"/>
    <w:rsid w:val="00CD75AF"/>
    <w:rsid w:val="00CD7C22"/>
    <w:rsid w:val="00CF7998"/>
    <w:rsid w:val="00D02DC8"/>
    <w:rsid w:val="00D11DC1"/>
    <w:rsid w:val="00D14C50"/>
    <w:rsid w:val="00D243DC"/>
    <w:rsid w:val="00D24C8F"/>
    <w:rsid w:val="00D26864"/>
    <w:rsid w:val="00D37ED6"/>
    <w:rsid w:val="00D6016F"/>
    <w:rsid w:val="00D60F0F"/>
    <w:rsid w:val="00D6189A"/>
    <w:rsid w:val="00D62DDF"/>
    <w:rsid w:val="00D73FFE"/>
    <w:rsid w:val="00D7514E"/>
    <w:rsid w:val="00D80A89"/>
    <w:rsid w:val="00D8103B"/>
    <w:rsid w:val="00D928AA"/>
    <w:rsid w:val="00D94ADA"/>
    <w:rsid w:val="00D950D5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6C46"/>
    <w:rsid w:val="00DF30BC"/>
    <w:rsid w:val="00DF4B74"/>
    <w:rsid w:val="00E03C71"/>
    <w:rsid w:val="00E069E0"/>
    <w:rsid w:val="00E1102E"/>
    <w:rsid w:val="00E12163"/>
    <w:rsid w:val="00E24BF6"/>
    <w:rsid w:val="00E31545"/>
    <w:rsid w:val="00E34285"/>
    <w:rsid w:val="00E370FF"/>
    <w:rsid w:val="00E44CB9"/>
    <w:rsid w:val="00E60E9C"/>
    <w:rsid w:val="00E6233C"/>
    <w:rsid w:val="00E67C2E"/>
    <w:rsid w:val="00EA4560"/>
    <w:rsid w:val="00EB35B1"/>
    <w:rsid w:val="00EB6234"/>
    <w:rsid w:val="00EC0C09"/>
    <w:rsid w:val="00EC1A93"/>
    <w:rsid w:val="00ED1638"/>
    <w:rsid w:val="00ED29D1"/>
    <w:rsid w:val="00ED7995"/>
    <w:rsid w:val="00EE0145"/>
    <w:rsid w:val="00EF3EC3"/>
    <w:rsid w:val="00F019A8"/>
    <w:rsid w:val="00F07A85"/>
    <w:rsid w:val="00F13EE3"/>
    <w:rsid w:val="00F22D1C"/>
    <w:rsid w:val="00F27C3B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9309E"/>
    <w:rsid w:val="00F936EB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74C-E8CD-4C18-9756-B3E9257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23</Pages>
  <Words>10203</Words>
  <Characters>58160</Characters>
  <Application>Microsoft Office Word</Application>
  <DocSecurity>0</DocSecurity>
  <Lines>484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224</cp:revision>
  <cp:lastPrinted>2022-11-11T09:15:00Z</cp:lastPrinted>
  <dcterms:created xsi:type="dcterms:W3CDTF">2016-10-27T05:54:00Z</dcterms:created>
  <dcterms:modified xsi:type="dcterms:W3CDTF">2022-11-25T13:30:00Z</dcterms:modified>
</cp:coreProperties>
</file>