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0A4" w:rsidRPr="00DF1A46" w:rsidRDefault="009B30A4" w:rsidP="009B30A4">
      <w:pPr>
        <w:rPr>
          <w:color w:val="000000"/>
          <w:sz w:val="24"/>
          <w:szCs w:val="24"/>
          <w:lang w:val="hr-HR"/>
        </w:rPr>
      </w:pPr>
      <w:r w:rsidRPr="00DF1A46">
        <w:rPr>
          <w:color w:val="000000"/>
          <w:sz w:val="24"/>
          <w:szCs w:val="24"/>
          <w:lang w:val="hr-HR"/>
        </w:rPr>
        <w:t xml:space="preserve">              </w:t>
      </w:r>
      <w:r w:rsidRPr="00DF1A46">
        <w:rPr>
          <w:rFonts w:ascii="Arial" w:hAnsi="Arial" w:cs="Arial"/>
          <w:noProof/>
          <w:color w:val="000000"/>
          <w:sz w:val="22"/>
          <w:szCs w:val="22"/>
          <w:lang w:val="hr-HR"/>
        </w:rPr>
        <w:drawing>
          <wp:inline distT="0" distB="0" distL="0" distR="0">
            <wp:extent cx="57277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A4" w:rsidRPr="00DF1A46" w:rsidRDefault="009B30A4" w:rsidP="009B30A4">
      <w:pPr>
        <w:rPr>
          <w:color w:val="000000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REPUBLIKA HRVATSKA</w:t>
      </w:r>
    </w:p>
    <w:p w:rsidR="009B30A4" w:rsidRPr="00DF1A46" w:rsidRDefault="009B30A4" w:rsidP="009B30A4">
      <w:pPr>
        <w:tabs>
          <w:tab w:val="center" w:pos="4320"/>
          <w:tab w:val="right" w:pos="8640"/>
        </w:tabs>
        <w:textAlignment w:val="baseline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 ZADARSKA ŽUPANIJA</w:t>
      </w:r>
    </w:p>
    <w:p w:rsidR="009B30A4" w:rsidRPr="00DF1A46" w:rsidRDefault="009B30A4" w:rsidP="009B30A4">
      <w:pPr>
        <w:textAlignment w:val="baseline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  OPĆINA STARIGRAD</w:t>
      </w:r>
    </w:p>
    <w:p w:rsidR="009B30A4" w:rsidRPr="00DF1A46" w:rsidRDefault="009B30A4" w:rsidP="009B30A4">
      <w:pPr>
        <w:rPr>
          <w:b/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      </w:t>
      </w:r>
      <w:r w:rsidRPr="00DF1A46">
        <w:rPr>
          <w:b/>
          <w:sz w:val="24"/>
          <w:szCs w:val="24"/>
          <w:lang w:val="hr-HR"/>
        </w:rPr>
        <w:t>Općinski načelnik</w:t>
      </w:r>
    </w:p>
    <w:p w:rsidR="009B30A4" w:rsidRPr="00DF1A46" w:rsidRDefault="009B30A4" w:rsidP="009B30A4">
      <w:pPr>
        <w:rPr>
          <w:b/>
          <w:sz w:val="24"/>
          <w:szCs w:val="24"/>
          <w:lang w:val="hr-HR"/>
        </w:rPr>
      </w:pPr>
    </w:p>
    <w:p w:rsidR="009B30A4" w:rsidRPr="00DF1A46" w:rsidRDefault="009B30A4" w:rsidP="009B30A4">
      <w:p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KLASA: 351-01/17-01/5</w:t>
      </w:r>
    </w:p>
    <w:p w:rsidR="009B30A4" w:rsidRPr="00DF1A46" w:rsidRDefault="00DD2C04" w:rsidP="009B30A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2198/09</w:t>
      </w:r>
      <w:r w:rsidR="009B30A4" w:rsidRPr="00DF1A46">
        <w:rPr>
          <w:sz w:val="24"/>
          <w:szCs w:val="24"/>
          <w:lang w:val="hr-HR"/>
        </w:rPr>
        <w:t>-2-17-12</w:t>
      </w:r>
    </w:p>
    <w:p w:rsidR="009B30A4" w:rsidRPr="00DF1A46" w:rsidRDefault="009B30A4" w:rsidP="009B30A4">
      <w:pPr>
        <w:rPr>
          <w:sz w:val="24"/>
          <w:szCs w:val="24"/>
          <w:lang w:val="hr-HR"/>
        </w:rPr>
      </w:pPr>
    </w:p>
    <w:p w:rsidR="009B30A4" w:rsidRPr="00DF1A46" w:rsidRDefault="009B30A4" w:rsidP="009B30A4">
      <w:p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Starigrad Paklenica, 22. rujna 2017. godine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Na temelju članka 64. Zakona o zaštiti okoliša (“NN” 80/13, 153/13 i 78/15), članka 31.  Uredbe o strateškoj procjeni utjecaja plana i programa na okoliš (“NN” br. 03/17) i članka 46. Statuta Općine Starigrad (“Službeni glasnik Zadarske županije” br. 4/13, 7/13 i 11/13) nakon provedenog postupka Ocjene o potrebi strateške procjene utjecaja na okoliš, Općinski načelnik Općine Starigrad donosi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O D L U K U</w:t>
      </w:r>
      <w:bookmarkStart w:id="0" w:name="_GoBack"/>
      <w:bookmarkEnd w:id="0"/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kojom se utvrđuje da nije potrebno provesti stratešku procjenu utjecaja na okoliš za Izmjene i dopune Prostornog plana uređenja Općine Starigrad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Općinski načelnik Općine Starigrad je dana 6. lipnja 2017. donio je Odluku o započinjanju postupka ocjene o potrebi strateške procjene utjecaja na okoliš </w:t>
      </w:r>
      <w:bookmarkStart w:id="1" w:name="OLE_LINK5"/>
      <w:bookmarkStart w:id="2" w:name="OLE_LINK6"/>
      <w:bookmarkStart w:id="3" w:name="OLE_LINK7"/>
      <w:r w:rsidRPr="00DF1A46">
        <w:rPr>
          <w:sz w:val="24"/>
          <w:szCs w:val="24"/>
          <w:lang w:val="hr-HR"/>
        </w:rPr>
        <w:t>za Izmjene i dopune Prostornog plana uređenja Općine Starigrad</w:t>
      </w:r>
      <w:bookmarkEnd w:id="1"/>
      <w:bookmarkEnd w:id="2"/>
      <w:bookmarkEnd w:id="3"/>
      <w:r w:rsidRPr="00DF1A46">
        <w:rPr>
          <w:sz w:val="24"/>
          <w:szCs w:val="24"/>
          <w:lang w:val="hr-HR"/>
        </w:rPr>
        <w:t xml:space="preserve">, KLASA: </w:t>
      </w:r>
      <w:r w:rsidRPr="00DF1A46">
        <w:rPr>
          <w:sz w:val="24"/>
          <w:szCs w:val="24"/>
          <w:lang w:val="hr-HR" w:eastAsia="hr-HR"/>
        </w:rPr>
        <w:t>351-01/17-01/5</w:t>
      </w:r>
      <w:r w:rsidRPr="00DF1A46">
        <w:rPr>
          <w:sz w:val="24"/>
          <w:szCs w:val="24"/>
          <w:lang w:val="hr-HR"/>
        </w:rPr>
        <w:t xml:space="preserve">, URBROJ: </w:t>
      </w:r>
      <w:r w:rsidRPr="00DF1A46">
        <w:rPr>
          <w:sz w:val="24"/>
          <w:szCs w:val="24"/>
          <w:lang w:val="hr-HR" w:eastAsia="hr-HR"/>
        </w:rPr>
        <w:t>2198/21-2-17-01</w:t>
      </w:r>
      <w:r w:rsidRPr="00DF1A46">
        <w:rPr>
          <w:sz w:val="24"/>
          <w:szCs w:val="24"/>
          <w:lang w:val="hr-HR"/>
        </w:rPr>
        <w:t>, prema kojoj je Jedinstveni upravni odjel Općine Starigrad proveo postupak Ocjene o potrebi strateške procjene utjecaja na okoliš za Izmjene i dopune Prostornog plana uređenja Općine Starigrad (u daljn</w:t>
      </w:r>
      <w:r>
        <w:rPr>
          <w:sz w:val="24"/>
          <w:szCs w:val="24"/>
          <w:lang w:val="hr-HR"/>
        </w:rPr>
        <w:t>j</w:t>
      </w:r>
      <w:r w:rsidRPr="00DF1A46">
        <w:rPr>
          <w:sz w:val="24"/>
          <w:szCs w:val="24"/>
          <w:lang w:val="hr-HR"/>
        </w:rPr>
        <w:t>em tekstu: Izmjene i dopune Plana).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II.</w:t>
      </w:r>
    </w:p>
    <w:p w:rsidR="009B30A4" w:rsidRPr="00DF1A46" w:rsidRDefault="009B30A4" w:rsidP="009B30A4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DF1A46">
        <w:rPr>
          <w:rFonts w:ascii="Times New Roman" w:hAnsi="Times New Roman" w:cs="Times New Roman"/>
          <w:color w:val="auto"/>
          <w:lang w:val="hr-HR"/>
        </w:rPr>
        <w:t>Razlozi za izmjene i dopune Plan</w:t>
      </w:r>
      <w:r>
        <w:rPr>
          <w:rFonts w:ascii="Times New Roman" w:hAnsi="Times New Roman" w:cs="Times New Roman"/>
          <w:color w:val="auto"/>
          <w:lang w:val="hr-HR"/>
        </w:rPr>
        <w:t>a</w:t>
      </w:r>
      <w:r w:rsidRPr="00DF1A46">
        <w:rPr>
          <w:rFonts w:ascii="Times New Roman" w:hAnsi="Times New Roman" w:cs="Times New Roman"/>
          <w:color w:val="auto"/>
          <w:lang w:val="hr-HR"/>
        </w:rPr>
        <w:t xml:space="preserve">: </w:t>
      </w:r>
    </w:p>
    <w:p w:rsidR="009B30A4" w:rsidRPr="00DF1A46" w:rsidRDefault="009B30A4" w:rsidP="009B30A4">
      <w:pPr>
        <w:rPr>
          <w:sz w:val="24"/>
          <w:szCs w:val="24"/>
          <w:lang w:val="hr-HR"/>
        </w:rPr>
      </w:pP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dopuna uvjeta za građenje u građevinskom području naselja i u izdvojenim građevinskim područjima izvan naselja radi jednostavnije i kvalitetnije provedbe Plana,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dopuna uvjeta za smještaj osnovnih, pomoćnih i infrastrukturnih građevina na građevnoj čestice (udaljenosti od međa i sl.),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dopuna uvjeta za građenje i uređenje zemljišta izvan građevinskih područja naselja i izdvojena građevinska područja izvan naselja, 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dopuna uvjeta za planiranje gospodarskih građevina u naselju,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lastRenderedPageBreak/>
        <w:t>dopuna uvjeta za smještaj prometa u mirovanju,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utvrđivanje uvjeta za proizvodnju električne energije iz obnovljivih izvora,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promjena lokacije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pročišćivača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>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određivanje zone za proširenje groblja u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Selinama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>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utvrđivanje uvjeta za planiranje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reciklažnog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dvorišta,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mogućnost preraspodijele manjih dijelova građevinskih područja (ispravak granica građevinskih područja)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usklađenje postojećeg Plana sa </w:t>
      </w:r>
      <w:r w:rsidRPr="00DF1A46">
        <w:rPr>
          <w:rFonts w:eastAsia="Times New Roman"/>
          <w:i/>
          <w:sz w:val="24"/>
          <w:szCs w:val="24"/>
          <w:lang w:val="hr-HR"/>
        </w:rPr>
        <w:t>zakonom o prostornom uređenju</w:t>
      </w:r>
      <w:r w:rsidRPr="00DF1A46">
        <w:rPr>
          <w:rFonts w:eastAsia="Times New Roman"/>
          <w:sz w:val="24"/>
          <w:szCs w:val="24"/>
          <w:lang w:val="hr-HR"/>
        </w:rPr>
        <w:t xml:space="preserve"> (NN 153/13) u smislu članka. 201. istog. Zakon nalaže obvezu određivanja neuređenih dijelova građevinskih područja za koje je obvezna izrada urbanističkog plana uređenja i izgrađene dijelove tih područja planirane za urbanu preobrazbu,</w:t>
      </w:r>
    </w:p>
    <w:p w:rsidR="009B30A4" w:rsidRPr="009B30A4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usklađenje Plana s izmjenama i dopunama Prostornog plana Zadarske županije objavljen u "Službenom glasniku Zadarske županije (br. 2/01 i izmjene i dopune istog, br. 6/04, 2/05, 17/06, 25/09, 15/14).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III.</w:t>
      </w:r>
    </w:p>
    <w:p w:rsidR="009B30A4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U cilju utvrđivanja vjerojatno značajnog utjecaja na okoliš, Jedinstveni upravni odjel Općine Starigrad zatražio je mišljenja tijela i/ili osoba određenih posebnim propisima navedenih u Prilogu I. ove Odluke. U tablici koja slijedi navedena su sva mišljenja i očitovanja koja su zaprimljena.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2966"/>
        <w:gridCol w:w="3235"/>
      </w:tblGrid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sz w:val="24"/>
                <w:szCs w:val="24"/>
                <w:lang w:val="hr-HR"/>
              </w:rPr>
            </w:pPr>
            <w:r w:rsidRPr="00DF1A46">
              <w:rPr>
                <w:rStyle w:val="Naglaeno"/>
                <w:sz w:val="24"/>
                <w:szCs w:val="24"/>
                <w:lang w:val="hr-HR"/>
              </w:rPr>
              <w:t>Javnopravno tijelo</w:t>
            </w:r>
          </w:p>
          <w:p w:rsidR="009B30A4" w:rsidRPr="00DF1A46" w:rsidRDefault="009B30A4" w:rsidP="00251DC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sz w:val="24"/>
                <w:szCs w:val="24"/>
                <w:lang w:val="hr-HR"/>
              </w:rPr>
            </w:pPr>
            <w:r w:rsidRPr="00DF1A46">
              <w:rPr>
                <w:rStyle w:val="Naglaeno"/>
                <w:sz w:val="24"/>
                <w:szCs w:val="24"/>
                <w:lang w:val="hr-HR"/>
              </w:rPr>
              <w:t xml:space="preserve">Klasa/ </w:t>
            </w:r>
            <w:proofErr w:type="spellStart"/>
            <w:r w:rsidRPr="00DF1A46">
              <w:rPr>
                <w:rStyle w:val="Naglaeno"/>
                <w:sz w:val="24"/>
                <w:szCs w:val="24"/>
                <w:lang w:val="hr-HR"/>
              </w:rPr>
              <w:t>Urbroj</w:t>
            </w:r>
            <w:proofErr w:type="spellEnd"/>
            <w:r w:rsidRPr="00DF1A46">
              <w:rPr>
                <w:rStyle w:val="Naglaeno"/>
                <w:sz w:val="24"/>
                <w:szCs w:val="24"/>
                <w:lang w:val="hr-HR"/>
              </w:rPr>
              <w:t>/ datum</w:t>
            </w:r>
          </w:p>
          <w:p w:rsidR="009B30A4" w:rsidRPr="00DF1A46" w:rsidRDefault="009B30A4" w:rsidP="00251DC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sz w:val="24"/>
                <w:szCs w:val="24"/>
                <w:lang w:val="hr-HR"/>
              </w:rPr>
            </w:pPr>
            <w:r w:rsidRPr="00DF1A46">
              <w:rPr>
                <w:rStyle w:val="Naglaeno"/>
                <w:sz w:val="24"/>
                <w:szCs w:val="24"/>
                <w:lang w:val="hr-HR"/>
              </w:rPr>
              <w:t>Mišljenje/očitovanje</w:t>
            </w:r>
          </w:p>
          <w:p w:rsidR="009B30A4" w:rsidRPr="00DF1A46" w:rsidRDefault="009B30A4" w:rsidP="00251DC2">
            <w:pPr>
              <w:rPr>
                <w:sz w:val="24"/>
                <w:szCs w:val="24"/>
                <w:lang w:val="hr-HR"/>
              </w:rPr>
            </w:pP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Zadarska županija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Upravni odjel za prostorno uređenje zaštitu okoliša i komunalne poslove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B. </w:t>
            </w: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Petranovića</w:t>
            </w:r>
            <w:proofErr w:type="spellEnd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 8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KLASA:351-04/17-01/28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2198/1-07/2-17-5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12. lipnja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Nema vjerojatno značajan utjecaj na okoliš i nije potrebno provesti postupak strateške procjene utjecaja na okoliš.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Hrvatske šume d.o.o.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Uprava šuma podružnica Split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Kralja Zvonimira 35, 21000 Split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Ur.broj</w:t>
            </w:r>
            <w:proofErr w:type="spellEnd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: ST-06-09-AK-4559/31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21. lipnja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Nije potrebno provesti postupak strateške procjene utjecaja na okoliš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Ministarstvo </w:t>
            </w: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culture</w:t>
            </w:r>
            <w:proofErr w:type="spellEnd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, Uprava za zaštitu kulturne baštine, Konzervatorski odjel u Zadru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Ilije Smiljanića 3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612-08/09-10/0774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532-04-02-13/2-17-8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29. lipnja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Nije potrebna provedba postupka strateške procjene utjecaja na okoliš.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Hrvatske vode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VGO za slivove južnog </w:t>
            </w: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jadrana</w:t>
            </w:r>
            <w:proofErr w:type="spellEnd"/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Vukovarska 35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31000 Split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351-03/17-01/0000345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374-24-9-17-2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28. LIPNJA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Nije potrebno provesti stratešku procjenu utjecaja na okoliš.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lastRenderedPageBreak/>
              <w:t>Županijska lučka uprava Zadar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Liburnska obala 6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342-21/17-01/391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2198-1-87-17-4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6. srpnja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Nema posebnih uvjeta.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Vodovod d.o.o.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Špire Brusine 17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Broj: 775/1/2017-MK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10. srpnja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Nema potrebe za strateškom procjenom utjecaja na okoliš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JU Nacionalni park Paklenica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Dr. Franje Tuđmana 14a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23244 Starigrad Paklenica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350-02/17-20/02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2198-1-90-02/01-17-2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12. srpnja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Nije potrebno provesti postupak strateške procjene utjecaja na okoliš.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sz w:val="22"/>
                <w:szCs w:val="22"/>
                <w:lang w:val="hr-HR"/>
              </w:rPr>
            </w:pPr>
            <w:r w:rsidRPr="00DF1A46">
              <w:rPr>
                <w:sz w:val="22"/>
                <w:szCs w:val="22"/>
                <w:lang w:val="hr-HR"/>
              </w:rPr>
              <w:t>Ministarstvo zaštite okoliša i energetike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sz w:val="22"/>
                <w:szCs w:val="22"/>
                <w:lang w:val="hr-HR"/>
              </w:rPr>
              <w:t>Radnička cesta 80, 10000 Zagreb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612-07/17-58/196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517-07-2-1-1-17-2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28. srpnja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Ne treba provesti postupak strateške procjene utjecaja na okoliš vezano uz područje zaštite i očuvanja prirode (</w:t>
            </w: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bioraznolikost</w:t>
            </w:r>
            <w:proofErr w:type="spellEnd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, zaštićena područja)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Planirane Izmjene i dopune PPUO Starigrad prihvatljive su za ekološku mrežu</w:t>
            </w:r>
          </w:p>
        </w:tc>
      </w:tr>
    </w:tbl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IV.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Temeljem navedenih mišljenja i očitovanja, konstatira se sljedeće:</w:t>
      </w:r>
    </w:p>
    <w:p w:rsidR="009B30A4" w:rsidRPr="00DF1A46" w:rsidRDefault="009B30A4" w:rsidP="009B30A4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-       u tablici iz prethodne točke vidljivo je da su sva javnopravna tijela koja su se javila, (uključujući i Ministarstvo zaštite okoliša i energetike), dala mišljenje da nije potrebno provesti postupak strateške procjene, </w:t>
      </w:r>
    </w:p>
    <w:p w:rsidR="009B30A4" w:rsidRPr="00DF1A46" w:rsidRDefault="009B30A4" w:rsidP="009B30A4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-       potencijalni štetni utjecaji planiranih Izmjena i dopuna Plana na sastavnice okoliša su isti ili vrlo slični kao i za postojeći Plan te vjerojatno neće imati nepovoljan utjecaj na okoliš i područje zaštite i očuvanja prirode (</w:t>
      </w:r>
      <w:proofErr w:type="spellStart"/>
      <w:r w:rsidRPr="00DF1A46">
        <w:rPr>
          <w:sz w:val="24"/>
          <w:szCs w:val="24"/>
          <w:lang w:val="hr-HR"/>
        </w:rPr>
        <w:t>bioraznolikost</w:t>
      </w:r>
      <w:proofErr w:type="spellEnd"/>
      <w:r w:rsidRPr="00DF1A46">
        <w:rPr>
          <w:sz w:val="24"/>
          <w:szCs w:val="24"/>
          <w:lang w:val="hr-HR"/>
        </w:rPr>
        <w:t xml:space="preserve">) </w:t>
      </w:r>
    </w:p>
    <w:p w:rsidR="009B30A4" w:rsidRPr="00DF1A46" w:rsidRDefault="009B30A4" w:rsidP="009B30A4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-    s obzirom na razloge predmetnih izmjena i dopuna PPUO Starigrad može se isključiti značajan utjecaj predmetnih izmjena i dopuna Plana na ciljeve očuvanja i cjelovitost područja ekološke mreže </w:t>
      </w:r>
    </w:p>
    <w:p w:rsidR="009B30A4" w:rsidRPr="00DF1A46" w:rsidRDefault="009B30A4" w:rsidP="009B30A4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-       planirane Izmjene i dopune Plana će omogućiti realizaciju planiranih sadržaja te time doprinijeti razvoju gospodarstva, a bez značajnijeg narušavanja standarda kakvoće okoliša i bez značajnijeg kumulativnog utjecaja na prirodu,</w:t>
      </w:r>
    </w:p>
    <w:p w:rsidR="009B30A4" w:rsidRPr="00DF1A46" w:rsidRDefault="009B30A4" w:rsidP="009B30A4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-       primjenom mjera zaštite okoliša koje će se propisati Planom osigurat će se potrebna kvaliteta zaštite okoliša,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Iz svega navedenog u ovoj točki, zaključeno je da Izmjene i dopune Plana neće imati vjerojatno značajan utjecaj na okoliš te se utvrđuje se da nije potrebno provesti stratešku procjenu utjecaja na okoliš za Izmjene i dopune PPUO Starig</w:t>
      </w:r>
      <w:r>
        <w:rPr>
          <w:sz w:val="24"/>
          <w:szCs w:val="24"/>
          <w:lang w:val="hr-HR"/>
        </w:rPr>
        <w:t>r</w:t>
      </w:r>
      <w:r w:rsidRPr="00DF1A46">
        <w:rPr>
          <w:sz w:val="24"/>
          <w:szCs w:val="24"/>
          <w:lang w:val="hr-HR"/>
        </w:rPr>
        <w:t>ad.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lastRenderedPageBreak/>
        <w:t>V.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Jedinstveni Upravni odjel Općine Starigrad je o ovoj Odluci dužan informirati javnost sukladno Odredbama Zakona o zaštiti okoliša („Narodne novine“, broj 80/13, 153/13 i 78/15) i odredbama Uredbe o informiranju i sudjelovanju javnosti i zainteresirane javnosti u pitanjima zaštite okoliša („Narodne novine“, broj 64/08) kojima se uređuje informiranje javnosti u pitanjima zaštite okoliša.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VI.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Ova Odluka stupa na snagu danom donošenja.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  <w:t>Općinski načelnik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  <w:t xml:space="preserve">Krste Ramić, dipl. </w:t>
      </w:r>
      <w:proofErr w:type="spellStart"/>
      <w:r w:rsidRPr="00DF1A46">
        <w:rPr>
          <w:sz w:val="24"/>
          <w:szCs w:val="24"/>
          <w:lang w:val="hr-HR"/>
        </w:rPr>
        <w:t>oec</w:t>
      </w:r>
      <w:proofErr w:type="spellEnd"/>
      <w:r w:rsidRPr="00DF1A46">
        <w:rPr>
          <w:sz w:val="24"/>
          <w:szCs w:val="24"/>
          <w:lang w:val="hr-HR"/>
        </w:rPr>
        <w:t>.</w:t>
      </w: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Prilog I.</w:t>
      </w:r>
    </w:p>
    <w:p w:rsidR="009B30A4" w:rsidRPr="00DF1A46" w:rsidRDefault="009B30A4" w:rsidP="009B30A4">
      <w:pPr>
        <w:pStyle w:val="StandardWeb"/>
        <w:numPr>
          <w:ilvl w:val="0"/>
          <w:numId w:val="2"/>
        </w:num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Popis tijela i/li osoba određenih posebnim propisima od kojih je traženo mišljenje: </w:t>
      </w:r>
    </w:p>
    <w:p w:rsidR="009B30A4" w:rsidRPr="00DF1A46" w:rsidRDefault="009B30A4" w:rsidP="009B30A4">
      <w:pPr>
        <w:pStyle w:val="msolistparagraph0"/>
        <w:numPr>
          <w:ilvl w:val="0"/>
          <w:numId w:val="3"/>
        </w:num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Ministarstvo zaštite okoliša i energetike, Uprava za zaštitu prirode, Radnička cesta 80, Zagreb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Zadarska županija, Upravni odjel za more i turizam, Liburnska obala 6/3,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Zadarska županija, Upravni odjel za prostorno uređenje, zaštitu okoliša i komunalne poslove, B.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Petranovića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8,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Zavod za javno zdravstvo,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Kolovare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2,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Javna ustanova “Natura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Jadera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”, Braće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Vranjanina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11,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Hrvatske vode VGO za vodno područje dalmatinskih slivova, Vukovarska 35, Split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Hrvatske šume d.o.o UŠP Split, Kralja Zvonimira 35, Split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Vodovod d.o.o. Zadar, Špire Brusinu 17,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Argyruntum d.o.o., Trg Tome Marasovića 1, Starigrad Paklenica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Županijska lučka uprava, Liburnska obala 6/5,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Hrvatske ceste, Poslovna jedinica Zadar, N. Tesle 14b,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Ministarstvo kulture, Konzervatorski odjel u Zadru, I. Smiljanića 3, 23000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Park Prirode Velebit,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Kaniža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4b, Gospić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Nacionalni Park Paklenica,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Dr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>, Franje Tuđmana 14a, Starigrad Paklenica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Općina Jasenice, Petra Zoranića 61, Jasenice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Općina Karlobag, Trg Dr. Franje Tuđmana 2, Karlobag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Grad Gospić,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Budačka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55, Gospić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Općina Lovinac, Ulica sv. Mihovila 11, Lovinac</w:t>
      </w: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rPr>
          <w:sz w:val="24"/>
          <w:szCs w:val="24"/>
          <w:lang w:val="hr-HR"/>
        </w:rPr>
      </w:pPr>
    </w:p>
    <w:p w:rsidR="0095538B" w:rsidRDefault="0095538B"/>
    <w:sectPr w:rsidR="0095538B" w:rsidSect="00DF1A46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1B90"/>
    <w:multiLevelType w:val="hybridMultilevel"/>
    <w:tmpl w:val="F824415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B0404"/>
    <w:multiLevelType w:val="hybridMultilevel"/>
    <w:tmpl w:val="DD64CBA6"/>
    <w:lvl w:ilvl="0" w:tplc="E3E8E2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A4"/>
    <w:rsid w:val="00267C87"/>
    <w:rsid w:val="0095538B"/>
    <w:rsid w:val="009B30A4"/>
    <w:rsid w:val="00C03B34"/>
    <w:rsid w:val="00D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5F8A"/>
  <w15:chartTrackingRefBased/>
  <w15:docId w15:val="{239CBD16-F770-4FC5-A8F9-8D023B65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0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9B30A4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9B30A4"/>
    <w:rPr>
      <w:b/>
      <w:bCs/>
    </w:rPr>
  </w:style>
  <w:style w:type="paragraph" w:customStyle="1" w:styleId="Default">
    <w:name w:val="Default"/>
    <w:rsid w:val="009B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B30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30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0A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2017-09-25T10:37:00Z</cp:lastPrinted>
  <dcterms:created xsi:type="dcterms:W3CDTF">2017-09-23T12:55:00Z</dcterms:created>
  <dcterms:modified xsi:type="dcterms:W3CDTF">2017-09-25T10:38:00Z</dcterms:modified>
</cp:coreProperties>
</file>