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38" w:rsidRDefault="007A5438" w:rsidP="007A5438">
      <w:pPr>
        <w:pStyle w:val="Header"/>
        <w:rPr>
          <w:rFonts w:ascii="HRTimes" w:hAnsi="HRTimes"/>
          <w:sz w:val="24"/>
          <w:szCs w:val="24"/>
          <w:lang w:val="de-DE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438" w:rsidRDefault="007A5438" w:rsidP="007A5438">
      <w:pPr>
        <w:pStyle w:val="Header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7A5438" w:rsidRDefault="007A5438" w:rsidP="007A5438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ZADARSKA ŽUPANIJA </w:t>
      </w:r>
    </w:p>
    <w:p w:rsidR="007A5438" w:rsidRDefault="007A5438" w:rsidP="007A5438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OPĆINA STARIGRAD</w:t>
      </w:r>
    </w:p>
    <w:p w:rsidR="007A5438" w:rsidRPr="00113DB1" w:rsidRDefault="007A5438" w:rsidP="007A5438">
      <w:pPr>
        <w:pStyle w:val="Header"/>
        <w:rPr>
          <w:sz w:val="24"/>
          <w:szCs w:val="24"/>
          <w:lang w:val="de-DE"/>
        </w:rPr>
      </w:pP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438" w:rsidRPr="00AC2F44" w:rsidRDefault="007A5438" w:rsidP="007A543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Bilješke uz Konsolidirane financijske izvještaje za</w:t>
      </w:r>
    </w:p>
    <w:p w:rsidR="007A5438" w:rsidRPr="00AC2F44" w:rsidRDefault="007A5438" w:rsidP="007A543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44">
        <w:rPr>
          <w:rFonts w:ascii="Times New Roman" w:hAnsi="Times New Roman" w:cs="Times New Roman"/>
          <w:b/>
          <w:sz w:val="28"/>
          <w:szCs w:val="28"/>
        </w:rPr>
        <w:t>razdoblje od 01</w:t>
      </w:r>
      <w:r w:rsidR="0014360E">
        <w:rPr>
          <w:rFonts w:ascii="Times New Roman" w:hAnsi="Times New Roman" w:cs="Times New Roman"/>
          <w:b/>
          <w:sz w:val="28"/>
          <w:szCs w:val="28"/>
        </w:rPr>
        <w:t>. siječnja do 31. prosinaca 2018</w:t>
      </w:r>
      <w:r w:rsidRPr="00AC2F44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A5438" w:rsidRDefault="007A5438" w:rsidP="007A54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A5438" w:rsidRPr="00AC2F44" w:rsidRDefault="007A5438" w:rsidP="007A543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>Uvodna bilješka – podaci o obvezniku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438" w:rsidRPr="00A43BC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Starigrad</w:t>
      </w:r>
    </w:p>
    <w:p w:rsidR="007A5438" w:rsidRPr="008F5AA2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5AA2">
        <w:rPr>
          <w:rFonts w:ascii="Times New Roman" w:hAnsi="Times New Roman" w:cs="Times New Roman"/>
          <w:sz w:val="24"/>
          <w:szCs w:val="24"/>
        </w:rPr>
        <w:t>Trg Tome Marasovića 1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5AA2">
        <w:rPr>
          <w:rFonts w:ascii="Times New Roman" w:hAnsi="Times New Roman" w:cs="Times New Roman"/>
          <w:sz w:val="24"/>
          <w:szCs w:val="24"/>
        </w:rPr>
        <w:t>23244 Starigrad Paklenica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52749374195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02544300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RKP-a: 35335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općine: 416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23 – Konsolidirani proračun jedinice lokalne i područne (regionalne) samouprave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000</w:t>
      </w:r>
    </w:p>
    <w:p w:rsidR="007A5438" w:rsidRPr="008F5AA2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8411 – Opće djelatnosti javne uprave</w:t>
      </w:r>
    </w:p>
    <w:p w:rsidR="007A5438" w:rsidRDefault="007A5438" w:rsidP="007A54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računa: HR9424070001841600009</w:t>
      </w:r>
    </w:p>
    <w:p w:rsidR="00181EC8" w:rsidRDefault="00181EC8" w:rsidP="007A5438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181EC8" w:rsidRDefault="00181EC8" w:rsidP="00181EC8">
      <w:pPr>
        <w:pStyle w:val="NoSpacing"/>
        <w:rPr>
          <w:b/>
        </w:rPr>
      </w:pPr>
    </w:p>
    <w:p w:rsidR="00181EC8" w:rsidRPr="00070037" w:rsidRDefault="00181EC8" w:rsidP="00926A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70037">
        <w:rPr>
          <w:rFonts w:ascii="Times New Roman" w:hAnsi="Times New Roman" w:cs="Times New Roman"/>
          <w:sz w:val="24"/>
          <w:szCs w:val="24"/>
        </w:rPr>
        <w:t>Proces konsolidacije, priprema i predaja konsolidiranih financijskih izvješća propisani su Zakonom o proračunu („Narodne novine“ broj 87/08, 136/12 i 15/15) te Pravilnikom o financijskom izvještavanju u proračunskom računovodstvu („Nar</w:t>
      </w:r>
      <w:r w:rsidR="0014360E">
        <w:rPr>
          <w:rFonts w:ascii="Times New Roman" w:hAnsi="Times New Roman" w:cs="Times New Roman"/>
          <w:sz w:val="24"/>
          <w:szCs w:val="24"/>
        </w:rPr>
        <w:t xml:space="preserve">odne novine“ broj 3/15, 93/15, </w:t>
      </w:r>
      <w:r w:rsidRPr="00070037">
        <w:rPr>
          <w:rFonts w:ascii="Times New Roman" w:hAnsi="Times New Roman" w:cs="Times New Roman"/>
          <w:sz w:val="24"/>
          <w:szCs w:val="24"/>
        </w:rPr>
        <w:t>135/15</w:t>
      </w:r>
      <w:r w:rsidR="0014360E">
        <w:rPr>
          <w:rFonts w:ascii="Times New Roman" w:hAnsi="Times New Roman" w:cs="Times New Roman"/>
          <w:sz w:val="24"/>
          <w:szCs w:val="24"/>
        </w:rPr>
        <w:t>, 2/17, 28/17 i 112/18</w:t>
      </w:r>
      <w:r w:rsidRPr="00070037">
        <w:rPr>
          <w:rFonts w:ascii="Times New Roman" w:hAnsi="Times New Roman" w:cs="Times New Roman"/>
          <w:sz w:val="24"/>
          <w:szCs w:val="24"/>
        </w:rPr>
        <w:t>). Pripadnost proračunskih korisnika određenom proračunu utvrđena je Pravilnikom o utvrđivanju proračunskih i izvanproračunskih korisnika državnog i proračunskih i izvanproračunskih korisnika proračuna JLIP(R) samouprave te o načinu vođenja registra proračunskih i izvanproračunskih korisnika („Narodne novine“ broj 128/09, 142/14).</w:t>
      </w:r>
    </w:p>
    <w:p w:rsidR="00926A22" w:rsidRDefault="00926A22" w:rsidP="00926A22">
      <w:pPr>
        <w:spacing w:line="240" w:lineRule="auto"/>
      </w:pPr>
    </w:p>
    <w:p w:rsidR="00181EC8" w:rsidRPr="00926A22" w:rsidRDefault="00181EC8" w:rsidP="00926A22">
      <w:pPr>
        <w:spacing w:line="240" w:lineRule="auto"/>
        <w:jc w:val="both"/>
      </w:pPr>
      <w:r w:rsidRPr="00070037">
        <w:rPr>
          <w:rFonts w:ascii="Times New Roman" w:hAnsi="Times New Roman" w:cs="Times New Roman"/>
          <w:sz w:val="24"/>
          <w:szCs w:val="24"/>
        </w:rPr>
        <w:t xml:space="preserve">Općina </w:t>
      </w:r>
      <w:r w:rsidR="00070037" w:rsidRPr="00070037">
        <w:rPr>
          <w:rFonts w:ascii="Times New Roman" w:hAnsi="Times New Roman" w:cs="Times New Roman"/>
          <w:sz w:val="24"/>
          <w:szCs w:val="24"/>
        </w:rPr>
        <w:t xml:space="preserve">Starigrad </w:t>
      </w:r>
      <w:r w:rsidRPr="00070037">
        <w:rPr>
          <w:rFonts w:ascii="Times New Roman" w:hAnsi="Times New Roman" w:cs="Times New Roman"/>
          <w:sz w:val="24"/>
          <w:szCs w:val="24"/>
        </w:rPr>
        <w:t>im</w:t>
      </w:r>
      <w:r w:rsidR="00070037" w:rsidRPr="00070037">
        <w:rPr>
          <w:rFonts w:ascii="Times New Roman" w:hAnsi="Times New Roman" w:cs="Times New Roman"/>
          <w:sz w:val="24"/>
          <w:szCs w:val="24"/>
        </w:rPr>
        <w:t>a</w:t>
      </w:r>
      <w:r w:rsidRPr="00070037">
        <w:rPr>
          <w:rFonts w:ascii="Times New Roman" w:hAnsi="Times New Roman" w:cs="Times New Roman"/>
          <w:sz w:val="24"/>
          <w:szCs w:val="24"/>
        </w:rPr>
        <w:t xml:space="preserve"> jednog proračunskog korisnika i to </w:t>
      </w:r>
      <w:r w:rsidR="00070037">
        <w:rPr>
          <w:rFonts w:ascii="Times New Roman" w:hAnsi="Times New Roman" w:cs="Times New Roman"/>
          <w:b/>
          <w:sz w:val="24"/>
          <w:szCs w:val="24"/>
        </w:rPr>
        <w:t>D</w:t>
      </w:r>
      <w:r w:rsidRPr="00070037">
        <w:rPr>
          <w:rFonts w:ascii="Times New Roman" w:hAnsi="Times New Roman" w:cs="Times New Roman"/>
          <w:b/>
          <w:sz w:val="24"/>
          <w:szCs w:val="24"/>
        </w:rPr>
        <w:t>ječji vrtić „</w:t>
      </w:r>
      <w:r w:rsidR="00070037" w:rsidRPr="00070037">
        <w:rPr>
          <w:rFonts w:ascii="Times New Roman" w:hAnsi="Times New Roman" w:cs="Times New Roman"/>
          <w:b/>
          <w:sz w:val="24"/>
          <w:szCs w:val="24"/>
        </w:rPr>
        <w:t>Osmjeh</w:t>
      </w:r>
      <w:r w:rsidR="00070037">
        <w:rPr>
          <w:rFonts w:ascii="Times New Roman" w:hAnsi="Times New Roman" w:cs="Times New Roman"/>
          <w:b/>
          <w:sz w:val="24"/>
          <w:szCs w:val="24"/>
        </w:rPr>
        <w:t>“</w:t>
      </w:r>
      <w:r w:rsidR="00070037">
        <w:rPr>
          <w:rFonts w:ascii="Times New Roman" w:hAnsi="Times New Roman" w:cs="Times New Roman"/>
          <w:sz w:val="24"/>
          <w:szCs w:val="24"/>
        </w:rPr>
        <w:t>, Jurja Barakovića 2a, 23244 Starigrad Paklenica.</w:t>
      </w:r>
    </w:p>
    <w:p w:rsidR="001F592E" w:rsidRDefault="001F592E" w:rsidP="00926A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2E">
        <w:rPr>
          <w:rFonts w:ascii="Times New Roman" w:hAnsi="Times New Roman" w:cs="Times New Roman"/>
          <w:sz w:val="24"/>
          <w:szCs w:val="24"/>
        </w:rPr>
        <w:t>U procesu konsolidacije eliminirani su pri</w:t>
      </w:r>
      <w:r>
        <w:rPr>
          <w:rFonts w:ascii="Times New Roman" w:hAnsi="Times New Roman" w:cs="Times New Roman"/>
          <w:sz w:val="24"/>
          <w:szCs w:val="24"/>
        </w:rPr>
        <w:t xml:space="preserve">hodi iskazani kod </w:t>
      </w:r>
      <w:r w:rsidR="00926A22">
        <w:rPr>
          <w:rFonts w:ascii="Times New Roman" w:hAnsi="Times New Roman" w:cs="Times New Roman"/>
          <w:sz w:val="24"/>
          <w:szCs w:val="24"/>
        </w:rPr>
        <w:t xml:space="preserve">proračunskog </w:t>
      </w:r>
      <w:r w:rsidRPr="001F592E">
        <w:rPr>
          <w:rFonts w:ascii="Times New Roman" w:hAnsi="Times New Roman" w:cs="Times New Roman"/>
          <w:sz w:val="24"/>
          <w:szCs w:val="24"/>
        </w:rPr>
        <w:t>korisnika na kontu 671 Prihodi iz nadležnog proračuna za f</w:t>
      </w:r>
      <w:r>
        <w:rPr>
          <w:rFonts w:ascii="Times New Roman" w:hAnsi="Times New Roman" w:cs="Times New Roman"/>
          <w:sz w:val="24"/>
          <w:szCs w:val="24"/>
        </w:rPr>
        <w:t xml:space="preserve">inanciranje redovne djelatnosti </w:t>
      </w:r>
      <w:r w:rsidRPr="001F592E">
        <w:rPr>
          <w:rFonts w:ascii="Times New Roman" w:hAnsi="Times New Roman" w:cs="Times New Roman"/>
          <w:sz w:val="24"/>
          <w:szCs w:val="24"/>
        </w:rPr>
        <w:t>proračunskih korisnika AOP 1</w:t>
      </w:r>
      <w:r w:rsidR="00926A22">
        <w:rPr>
          <w:rFonts w:ascii="Times New Roman" w:hAnsi="Times New Roman" w:cs="Times New Roman"/>
          <w:sz w:val="24"/>
          <w:szCs w:val="24"/>
        </w:rPr>
        <w:t>31,</w:t>
      </w:r>
      <w:r w:rsidRPr="001F592E">
        <w:rPr>
          <w:rFonts w:ascii="Times New Roman" w:hAnsi="Times New Roman" w:cs="Times New Roman"/>
          <w:sz w:val="24"/>
          <w:szCs w:val="24"/>
        </w:rPr>
        <w:t xml:space="preserve"> te rashodi kod Općine </w:t>
      </w:r>
      <w:r w:rsidR="00926A22">
        <w:rPr>
          <w:rFonts w:ascii="Times New Roman" w:hAnsi="Times New Roman" w:cs="Times New Roman"/>
          <w:sz w:val="24"/>
          <w:szCs w:val="24"/>
        </w:rPr>
        <w:t>Starigrad</w:t>
      </w:r>
      <w:r>
        <w:rPr>
          <w:rFonts w:ascii="Times New Roman" w:hAnsi="Times New Roman" w:cs="Times New Roman"/>
          <w:sz w:val="24"/>
          <w:szCs w:val="24"/>
        </w:rPr>
        <w:t xml:space="preserve"> na kontu 367 Prijenosi </w:t>
      </w:r>
      <w:r w:rsidRPr="001F592E">
        <w:rPr>
          <w:rFonts w:ascii="Times New Roman" w:hAnsi="Times New Roman" w:cs="Times New Roman"/>
          <w:sz w:val="24"/>
          <w:szCs w:val="24"/>
        </w:rPr>
        <w:t>proračunskim korisnicima iz nadležnog proračuna za financiranj</w:t>
      </w:r>
      <w:r>
        <w:rPr>
          <w:rFonts w:ascii="Times New Roman" w:hAnsi="Times New Roman" w:cs="Times New Roman"/>
          <w:sz w:val="24"/>
          <w:szCs w:val="24"/>
        </w:rPr>
        <w:t xml:space="preserve">e redovne djelatnosti AOP 234 u </w:t>
      </w:r>
      <w:r w:rsidRPr="001F592E">
        <w:rPr>
          <w:rFonts w:ascii="Times New Roman" w:hAnsi="Times New Roman" w:cs="Times New Roman"/>
          <w:sz w:val="24"/>
          <w:szCs w:val="24"/>
        </w:rPr>
        <w:t xml:space="preserve">ukupnom iznosu od </w:t>
      </w:r>
      <w:r w:rsidR="0014360E">
        <w:rPr>
          <w:rFonts w:ascii="Times New Roman" w:hAnsi="Times New Roman" w:cs="Times New Roman"/>
          <w:sz w:val="24"/>
          <w:szCs w:val="24"/>
        </w:rPr>
        <w:t>651.241</w:t>
      </w:r>
      <w:r w:rsidRPr="001F592E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545734" w:rsidRDefault="00181EC8" w:rsidP="00926A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734">
        <w:rPr>
          <w:rFonts w:ascii="Times New Roman" w:hAnsi="Times New Roman" w:cs="Times New Roman"/>
          <w:sz w:val="24"/>
          <w:szCs w:val="24"/>
        </w:rPr>
        <w:t xml:space="preserve">Financijskim izvještajem za </w:t>
      </w:r>
      <w:r w:rsidR="0014360E">
        <w:rPr>
          <w:rFonts w:ascii="Times New Roman" w:hAnsi="Times New Roman" w:cs="Times New Roman"/>
          <w:sz w:val="24"/>
          <w:szCs w:val="24"/>
        </w:rPr>
        <w:t>razdoblje siječanj-prosinac 2018</w:t>
      </w:r>
      <w:r w:rsidRPr="00545734">
        <w:rPr>
          <w:rFonts w:ascii="Times New Roman" w:hAnsi="Times New Roman" w:cs="Times New Roman"/>
          <w:sz w:val="24"/>
          <w:szCs w:val="24"/>
        </w:rPr>
        <w:t xml:space="preserve">. godine ostvareni su konsolidirani </w:t>
      </w:r>
      <w:r w:rsidR="00545734">
        <w:rPr>
          <w:rFonts w:ascii="Times New Roman" w:hAnsi="Times New Roman" w:cs="Times New Roman"/>
          <w:sz w:val="24"/>
          <w:szCs w:val="24"/>
        </w:rPr>
        <w:t xml:space="preserve">ukupni </w:t>
      </w:r>
      <w:r w:rsidRPr="00545734">
        <w:rPr>
          <w:rFonts w:ascii="Times New Roman" w:hAnsi="Times New Roman" w:cs="Times New Roman"/>
          <w:sz w:val="24"/>
          <w:szCs w:val="24"/>
        </w:rPr>
        <w:t xml:space="preserve">prihodi </w:t>
      </w:r>
      <w:r w:rsidR="00545734">
        <w:rPr>
          <w:rFonts w:ascii="Times New Roman" w:hAnsi="Times New Roman" w:cs="Times New Roman"/>
          <w:sz w:val="24"/>
          <w:szCs w:val="24"/>
        </w:rPr>
        <w:t xml:space="preserve">i primici </w:t>
      </w:r>
      <w:r w:rsidRPr="0054573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2406B3">
        <w:rPr>
          <w:rFonts w:ascii="Times New Roman" w:hAnsi="Times New Roman" w:cs="Times New Roman"/>
          <w:sz w:val="24"/>
          <w:szCs w:val="24"/>
        </w:rPr>
        <w:t>12.551.678</w:t>
      </w:r>
      <w:r w:rsidR="00545734">
        <w:rPr>
          <w:rFonts w:ascii="Times New Roman" w:hAnsi="Times New Roman" w:cs="Times New Roman"/>
          <w:sz w:val="24"/>
          <w:szCs w:val="24"/>
        </w:rPr>
        <w:t xml:space="preserve"> </w:t>
      </w:r>
      <w:r w:rsidRPr="00545734">
        <w:rPr>
          <w:rFonts w:ascii="Times New Roman" w:hAnsi="Times New Roman" w:cs="Times New Roman"/>
          <w:sz w:val="24"/>
          <w:szCs w:val="24"/>
        </w:rPr>
        <w:t xml:space="preserve"> kune i </w:t>
      </w:r>
      <w:r w:rsidR="00545734">
        <w:rPr>
          <w:rFonts w:ascii="Times New Roman" w:hAnsi="Times New Roman" w:cs="Times New Roman"/>
          <w:sz w:val="24"/>
          <w:szCs w:val="24"/>
        </w:rPr>
        <w:t xml:space="preserve">veći </w:t>
      </w:r>
      <w:r w:rsidR="00CE779A" w:rsidRPr="00545734">
        <w:rPr>
          <w:rFonts w:ascii="Times New Roman" w:hAnsi="Times New Roman" w:cs="Times New Roman"/>
          <w:sz w:val="24"/>
          <w:szCs w:val="24"/>
        </w:rPr>
        <w:t xml:space="preserve">su za </w:t>
      </w:r>
      <w:r w:rsidR="002406B3">
        <w:rPr>
          <w:rFonts w:ascii="Times New Roman" w:hAnsi="Times New Roman" w:cs="Times New Roman"/>
          <w:sz w:val="24"/>
          <w:szCs w:val="24"/>
        </w:rPr>
        <w:t>1.481.480</w:t>
      </w:r>
      <w:r w:rsidR="00545734">
        <w:rPr>
          <w:rFonts w:ascii="Times New Roman" w:hAnsi="Times New Roman" w:cs="Times New Roman"/>
          <w:sz w:val="24"/>
          <w:szCs w:val="24"/>
        </w:rPr>
        <w:t xml:space="preserve"> </w:t>
      </w:r>
      <w:r w:rsidR="00545734">
        <w:rPr>
          <w:rFonts w:ascii="Times New Roman" w:hAnsi="Times New Roman" w:cs="Times New Roman"/>
          <w:sz w:val="24"/>
          <w:szCs w:val="24"/>
        </w:rPr>
        <w:lastRenderedPageBreak/>
        <w:t xml:space="preserve">kuna </w:t>
      </w:r>
      <w:r w:rsidR="00CE779A" w:rsidRPr="00545734">
        <w:rPr>
          <w:rFonts w:ascii="Times New Roman" w:hAnsi="Times New Roman" w:cs="Times New Roman"/>
          <w:sz w:val="24"/>
          <w:szCs w:val="24"/>
        </w:rPr>
        <w:t>u odnosnu na prethodnu godinu. Zbrajanjem rashoda dobili su se konsolidirani rashodi</w:t>
      </w:r>
      <w:r w:rsidR="00545734">
        <w:rPr>
          <w:rFonts w:ascii="Times New Roman" w:hAnsi="Times New Roman" w:cs="Times New Roman"/>
          <w:sz w:val="24"/>
          <w:szCs w:val="24"/>
        </w:rPr>
        <w:t xml:space="preserve"> i izdaci</w:t>
      </w:r>
      <w:r w:rsidR="00CE779A" w:rsidRPr="0054573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406B3">
        <w:rPr>
          <w:rFonts w:ascii="Times New Roman" w:hAnsi="Times New Roman" w:cs="Times New Roman"/>
          <w:sz w:val="24"/>
          <w:szCs w:val="24"/>
        </w:rPr>
        <w:t>11.365.175</w:t>
      </w:r>
      <w:r w:rsidR="00CE779A" w:rsidRPr="00545734">
        <w:rPr>
          <w:rFonts w:ascii="Times New Roman" w:hAnsi="Times New Roman" w:cs="Times New Roman"/>
          <w:sz w:val="24"/>
          <w:szCs w:val="24"/>
        </w:rPr>
        <w:t xml:space="preserve"> kune što je za </w:t>
      </w:r>
      <w:r w:rsidR="002406B3">
        <w:rPr>
          <w:rFonts w:ascii="Times New Roman" w:hAnsi="Times New Roman" w:cs="Times New Roman"/>
          <w:sz w:val="24"/>
          <w:szCs w:val="24"/>
        </w:rPr>
        <w:t>14.113 kuna više nego prethodne 2017</w:t>
      </w:r>
      <w:r w:rsidR="00545734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545734" w:rsidRDefault="00545734" w:rsidP="00926A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779A" w:rsidRPr="00545734" w:rsidRDefault="00CE779A" w:rsidP="00926A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5734">
        <w:rPr>
          <w:rFonts w:ascii="Times New Roman" w:hAnsi="Times New Roman" w:cs="Times New Roman"/>
          <w:sz w:val="24"/>
          <w:szCs w:val="24"/>
        </w:rPr>
        <w:t xml:space="preserve">Eliminiranjem unutar transakcija između općinskog proračuna i proračunskog korisnika ostvaren je </w:t>
      </w:r>
      <w:r w:rsidR="002406B3">
        <w:rPr>
          <w:rFonts w:ascii="Times New Roman" w:hAnsi="Times New Roman" w:cs="Times New Roman"/>
          <w:sz w:val="24"/>
          <w:szCs w:val="24"/>
        </w:rPr>
        <w:t xml:space="preserve">višak </w:t>
      </w:r>
      <w:r w:rsidRPr="00545734">
        <w:rPr>
          <w:rFonts w:ascii="Times New Roman" w:hAnsi="Times New Roman" w:cs="Times New Roman"/>
          <w:sz w:val="24"/>
          <w:szCs w:val="24"/>
        </w:rPr>
        <w:t xml:space="preserve">prihoda nad rashodima u iznosu od </w:t>
      </w:r>
      <w:r w:rsidR="002406B3">
        <w:rPr>
          <w:rFonts w:ascii="Times New Roman" w:hAnsi="Times New Roman" w:cs="Times New Roman"/>
          <w:sz w:val="24"/>
          <w:szCs w:val="24"/>
        </w:rPr>
        <w:t>1.186.503 kune. U 2018</w:t>
      </w:r>
      <w:r w:rsidRPr="00545734">
        <w:rPr>
          <w:rFonts w:ascii="Times New Roman" w:hAnsi="Times New Roman" w:cs="Times New Roman"/>
          <w:sz w:val="24"/>
          <w:szCs w:val="24"/>
        </w:rPr>
        <w:t xml:space="preserve">. godinu prenesen je </w:t>
      </w:r>
      <w:r w:rsidR="00545734">
        <w:rPr>
          <w:rFonts w:ascii="Times New Roman" w:hAnsi="Times New Roman" w:cs="Times New Roman"/>
          <w:sz w:val="24"/>
          <w:szCs w:val="24"/>
        </w:rPr>
        <w:t>višak</w:t>
      </w:r>
      <w:r w:rsidR="002406B3">
        <w:rPr>
          <w:rFonts w:ascii="Times New Roman" w:hAnsi="Times New Roman" w:cs="Times New Roman"/>
          <w:sz w:val="24"/>
          <w:szCs w:val="24"/>
        </w:rPr>
        <w:t xml:space="preserve"> </w:t>
      </w:r>
      <w:r w:rsidR="00545734">
        <w:rPr>
          <w:rFonts w:ascii="Times New Roman" w:hAnsi="Times New Roman" w:cs="Times New Roman"/>
          <w:sz w:val="24"/>
          <w:szCs w:val="24"/>
        </w:rPr>
        <w:t xml:space="preserve">prihoda i primitaka </w:t>
      </w:r>
      <w:r w:rsidRPr="0054573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2406B3">
        <w:rPr>
          <w:rFonts w:ascii="Times New Roman" w:hAnsi="Times New Roman" w:cs="Times New Roman"/>
          <w:sz w:val="24"/>
          <w:szCs w:val="24"/>
        </w:rPr>
        <w:t>1.959.428</w:t>
      </w:r>
      <w:r w:rsidR="00A62F0A">
        <w:rPr>
          <w:rFonts w:ascii="Times New Roman" w:hAnsi="Times New Roman" w:cs="Times New Roman"/>
          <w:sz w:val="24"/>
          <w:szCs w:val="24"/>
        </w:rPr>
        <w:t xml:space="preserve"> kune</w:t>
      </w:r>
      <w:r w:rsidRPr="00545734">
        <w:rPr>
          <w:rFonts w:ascii="Times New Roman" w:hAnsi="Times New Roman" w:cs="Times New Roman"/>
          <w:sz w:val="24"/>
          <w:szCs w:val="24"/>
        </w:rPr>
        <w:t xml:space="preserve">, tako da </w:t>
      </w:r>
      <w:r w:rsidR="00545734">
        <w:rPr>
          <w:rFonts w:ascii="Times New Roman" w:hAnsi="Times New Roman" w:cs="Times New Roman"/>
          <w:sz w:val="24"/>
          <w:szCs w:val="24"/>
        </w:rPr>
        <w:t>višak</w:t>
      </w:r>
      <w:r w:rsidRPr="00545734">
        <w:rPr>
          <w:rFonts w:ascii="Times New Roman" w:hAnsi="Times New Roman" w:cs="Times New Roman"/>
          <w:sz w:val="24"/>
          <w:szCs w:val="24"/>
        </w:rPr>
        <w:t xml:space="preserve"> prihoda i primitaka </w:t>
      </w:r>
      <w:r w:rsidR="00545734">
        <w:rPr>
          <w:rFonts w:ascii="Times New Roman" w:hAnsi="Times New Roman" w:cs="Times New Roman"/>
          <w:sz w:val="24"/>
          <w:szCs w:val="24"/>
        </w:rPr>
        <w:t>raspoloživ u sl</w:t>
      </w:r>
      <w:r w:rsidRPr="00545734">
        <w:rPr>
          <w:rFonts w:ascii="Times New Roman" w:hAnsi="Times New Roman" w:cs="Times New Roman"/>
          <w:sz w:val="24"/>
          <w:szCs w:val="24"/>
        </w:rPr>
        <w:t xml:space="preserve">jedećem razdoblju iznosi </w:t>
      </w:r>
      <w:r w:rsidR="002406B3">
        <w:rPr>
          <w:rFonts w:ascii="Times New Roman" w:hAnsi="Times New Roman" w:cs="Times New Roman"/>
          <w:b/>
          <w:sz w:val="24"/>
          <w:szCs w:val="24"/>
        </w:rPr>
        <w:t>3.145.931</w:t>
      </w:r>
      <w:r w:rsidR="00545734" w:rsidRPr="006C0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AF6">
        <w:rPr>
          <w:rFonts w:ascii="Times New Roman" w:hAnsi="Times New Roman" w:cs="Times New Roman"/>
          <w:b/>
          <w:sz w:val="24"/>
          <w:szCs w:val="24"/>
        </w:rPr>
        <w:t>kune</w:t>
      </w:r>
      <w:r w:rsidRPr="00545734">
        <w:rPr>
          <w:rFonts w:ascii="Times New Roman" w:hAnsi="Times New Roman" w:cs="Times New Roman"/>
          <w:sz w:val="24"/>
          <w:szCs w:val="24"/>
        </w:rPr>
        <w:t>.</w:t>
      </w:r>
    </w:p>
    <w:p w:rsidR="00CE779A" w:rsidRPr="00545734" w:rsidRDefault="00CE779A" w:rsidP="00926A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592E" w:rsidRPr="00545734" w:rsidRDefault="001F592E" w:rsidP="001F592E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45734" w:rsidRDefault="00545734" w:rsidP="00CE779A">
      <w:pPr>
        <w:pStyle w:val="NoSpacing"/>
        <w:jc w:val="both"/>
        <w:rPr>
          <w:b/>
        </w:rPr>
      </w:pPr>
    </w:p>
    <w:p w:rsidR="001F592E" w:rsidRDefault="001F592E" w:rsidP="00CE779A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92E">
        <w:rPr>
          <w:rFonts w:ascii="Times New Roman" w:hAnsi="Times New Roman" w:cs="Times New Roman"/>
          <w:b/>
          <w:sz w:val="26"/>
          <w:szCs w:val="26"/>
        </w:rPr>
        <w:t>Bilješke uz obrazac PR-RAS:</w:t>
      </w:r>
    </w:p>
    <w:p w:rsidR="001F592E" w:rsidRDefault="001F592E" w:rsidP="00CE779A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6A54" w:rsidRDefault="001F592E" w:rsidP="00CE77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592E">
        <w:rPr>
          <w:rFonts w:ascii="Times New Roman" w:hAnsi="Times New Roman" w:cs="Times New Roman"/>
          <w:sz w:val="24"/>
          <w:szCs w:val="24"/>
        </w:rPr>
        <w:t xml:space="preserve">Ukupno ostvareni prihodi poslovanja </w:t>
      </w:r>
      <w:r w:rsidR="006E6A54">
        <w:rPr>
          <w:rFonts w:ascii="Times New Roman" w:hAnsi="Times New Roman" w:cs="Times New Roman"/>
          <w:sz w:val="24"/>
          <w:szCs w:val="24"/>
        </w:rPr>
        <w:t>(</w:t>
      </w:r>
      <w:r w:rsidRPr="001F592E">
        <w:rPr>
          <w:rFonts w:ascii="Times New Roman" w:hAnsi="Times New Roman" w:cs="Times New Roman"/>
          <w:sz w:val="24"/>
          <w:szCs w:val="24"/>
        </w:rPr>
        <w:t>AOP 001</w:t>
      </w:r>
      <w:r w:rsidR="006E6A54">
        <w:rPr>
          <w:rFonts w:ascii="Times New Roman" w:hAnsi="Times New Roman" w:cs="Times New Roman"/>
          <w:sz w:val="24"/>
          <w:szCs w:val="24"/>
        </w:rPr>
        <w:t>)</w:t>
      </w:r>
      <w:r w:rsidRPr="001F592E">
        <w:rPr>
          <w:rFonts w:ascii="Times New Roman" w:hAnsi="Times New Roman" w:cs="Times New Roman"/>
          <w:sz w:val="24"/>
          <w:szCs w:val="24"/>
        </w:rPr>
        <w:t xml:space="preserve"> u razdoblju od 01.</w:t>
      </w:r>
      <w:r w:rsidR="00926A22">
        <w:rPr>
          <w:rFonts w:ascii="Times New Roman" w:hAnsi="Times New Roman" w:cs="Times New Roman"/>
          <w:sz w:val="24"/>
          <w:szCs w:val="24"/>
        </w:rPr>
        <w:t xml:space="preserve"> siječnja </w:t>
      </w:r>
      <w:r w:rsidRPr="001F592E">
        <w:rPr>
          <w:rFonts w:ascii="Times New Roman" w:hAnsi="Times New Roman" w:cs="Times New Roman"/>
          <w:sz w:val="24"/>
          <w:szCs w:val="24"/>
        </w:rPr>
        <w:t>do 31.</w:t>
      </w:r>
      <w:r w:rsidR="002406B3">
        <w:rPr>
          <w:rFonts w:ascii="Times New Roman" w:hAnsi="Times New Roman" w:cs="Times New Roman"/>
          <w:sz w:val="24"/>
          <w:szCs w:val="24"/>
        </w:rPr>
        <w:t xml:space="preserve"> prosinca 2018</w:t>
      </w:r>
      <w:r w:rsidRPr="001F592E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2406B3">
        <w:rPr>
          <w:rFonts w:ascii="Times New Roman" w:hAnsi="Times New Roman" w:cs="Times New Roman"/>
          <w:sz w:val="24"/>
          <w:szCs w:val="24"/>
        </w:rPr>
        <w:t>12.086.161</w:t>
      </w:r>
      <w:r w:rsidRPr="001F592E">
        <w:rPr>
          <w:rFonts w:ascii="Times New Roman" w:hAnsi="Times New Roman" w:cs="Times New Roman"/>
          <w:sz w:val="24"/>
          <w:szCs w:val="24"/>
        </w:rPr>
        <w:t xml:space="preserve"> kuna, od čega na Općinu </w:t>
      </w:r>
      <w:r w:rsidR="00926A22">
        <w:rPr>
          <w:rFonts w:ascii="Times New Roman" w:hAnsi="Times New Roman" w:cs="Times New Roman"/>
          <w:sz w:val="24"/>
          <w:szCs w:val="24"/>
        </w:rPr>
        <w:t xml:space="preserve">Starigrad </w:t>
      </w:r>
      <w:r w:rsidRPr="001F592E">
        <w:rPr>
          <w:rFonts w:ascii="Times New Roman" w:hAnsi="Times New Roman" w:cs="Times New Roman"/>
          <w:sz w:val="24"/>
          <w:szCs w:val="24"/>
        </w:rPr>
        <w:t xml:space="preserve">otpada </w:t>
      </w:r>
      <w:r w:rsidR="002406B3">
        <w:rPr>
          <w:rFonts w:ascii="Times New Roman" w:hAnsi="Times New Roman" w:cs="Times New Roman"/>
          <w:sz w:val="24"/>
          <w:szCs w:val="24"/>
        </w:rPr>
        <w:t xml:space="preserve">11.919.909 </w:t>
      </w:r>
      <w:r w:rsidR="00926A22">
        <w:rPr>
          <w:rFonts w:ascii="Times New Roman" w:hAnsi="Times New Roman" w:cs="Times New Roman"/>
          <w:sz w:val="24"/>
          <w:szCs w:val="24"/>
        </w:rPr>
        <w:t xml:space="preserve"> k</w:t>
      </w:r>
      <w:r w:rsidR="006E6A54">
        <w:rPr>
          <w:rFonts w:ascii="Times New Roman" w:hAnsi="Times New Roman" w:cs="Times New Roman"/>
          <w:sz w:val="24"/>
          <w:szCs w:val="24"/>
        </w:rPr>
        <w:t>u</w:t>
      </w:r>
      <w:r w:rsidR="00926A22">
        <w:rPr>
          <w:rFonts w:ascii="Times New Roman" w:hAnsi="Times New Roman" w:cs="Times New Roman"/>
          <w:sz w:val="24"/>
          <w:szCs w:val="24"/>
        </w:rPr>
        <w:t>n</w:t>
      </w:r>
      <w:r w:rsidR="006E6A54">
        <w:rPr>
          <w:rFonts w:ascii="Times New Roman" w:hAnsi="Times New Roman" w:cs="Times New Roman"/>
          <w:sz w:val="24"/>
          <w:szCs w:val="24"/>
        </w:rPr>
        <w:t>a</w:t>
      </w:r>
      <w:r w:rsidR="00926A22">
        <w:rPr>
          <w:rFonts w:ascii="Times New Roman" w:hAnsi="Times New Roman" w:cs="Times New Roman"/>
          <w:sz w:val="24"/>
          <w:szCs w:val="24"/>
        </w:rPr>
        <w:t xml:space="preserve">, </w:t>
      </w:r>
      <w:r w:rsidRPr="001F592E">
        <w:rPr>
          <w:rFonts w:ascii="Times New Roman" w:hAnsi="Times New Roman" w:cs="Times New Roman"/>
          <w:sz w:val="24"/>
          <w:szCs w:val="24"/>
        </w:rPr>
        <w:t xml:space="preserve">a na Dječji vrtić </w:t>
      </w:r>
      <w:r w:rsidR="00926A22">
        <w:rPr>
          <w:rFonts w:ascii="Times New Roman" w:hAnsi="Times New Roman" w:cs="Times New Roman"/>
          <w:sz w:val="24"/>
          <w:szCs w:val="24"/>
        </w:rPr>
        <w:t>Osmjeh</w:t>
      </w:r>
      <w:r w:rsidR="002406B3">
        <w:rPr>
          <w:rFonts w:ascii="Times New Roman" w:hAnsi="Times New Roman" w:cs="Times New Roman"/>
          <w:sz w:val="24"/>
          <w:szCs w:val="24"/>
        </w:rPr>
        <w:t xml:space="preserve"> 166.252</w:t>
      </w:r>
      <w:r w:rsidRPr="001F592E">
        <w:rPr>
          <w:rFonts w:ascii="Times New Roman" w:hAnsi="Times New Roman" w:cs="Times New Roman"/>
          <w:sz w:val="24"/>
          <w:szCs w:val="24"/>
        </w:rPr>
        <w:t xml:space="preserve"> k</w:t>
      </w:r>
      <w:r w:rsidR="006E6A54">
        <w:rPr>
          <w:rFonts w:ascii="Times New Roman" w:hAnsi="Times New Roman" w:cs="Times New Roman"/>
          <w:sz w:val="24"/>
          <w:szCs w:val="24"/>
        </w:rPr>
        <w:t xml:space="preserve">una. </w:t>
      </w:r>
      <w:r w:rsidRPr="001F592E">
        <w:rPr>
          <w:rFonts w:ascii="Times New Roman" w:hAnsi="Times New Roman" w:cs="Times New Roman"/>
          <w:sz w:val="24"/>
          <w:szCs w:val="24"/>
        </w:rPr>
        <w:t>Ukupno ostvareni rashodi pos</w:t>
      </w:r>
      <w:r w:rsidR="002406B3">
        <w:rPr>
          <w:rFonts w:ascii="Times New Roman" w:hAnsi="Times New Roman" w:cs="Times New Roman"/>
          <w:sz w:val="24"/>
          <w:szCs w:val="24"/>
        </w:rPr>
        <w:t>lovanja (AOP 148) u 2018</w:t>
      </w:r>
      <w:r w:rsidRPr="001F592E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2406B3">
        <w:rPr>
          <w:rFonts w:ascii="Times New Roman" w:hAnsi="Times New Roman" w:cs="Times New Roman"/>
          <w:sz w:val="24"/>
          <w:szCs w:val="24"/>
        </w:rPr>
        <w:t xml:space="preserve">8.674.347 </w:t>
      </w:r>
      <w:r w:rsidRPr="001F592E">
        <w:rPr>
          <w:rFonts w:ascii="Times New Roman" w:hAnsi="Times New Roman" w:cs="Times New Roman"/>
          <w:sz w:val="24"/>
          <w:szCs w:val="24"/>
        </w:rPr>
        <w:t xml:space="preserve">kuna, od čega </w:t>
      </w:r>
      <w:r w:rsidR="002406B3">
        <w:rPr>
          <w:rFonts w:ascii="Times New Roman" w:hAnsi="Times New Roman" w:cs="Times New Roman"/>
          <w:sz w:val="24"/>
          <w:szCs w:val="24"/>
        </w:rPr>
        <w:t xml:space="preserve">8.508.786 </w:t>
      </w:r>
      <w:r w:rsidR="006E6A54">
        <w:rPr>
          <w:rFonts w:ascii="Times New Roman" w:hAnsi="Times New Roman" w:cs="Times New Roman"/>
          <w:sz w:val="24"/>
          <w:szCs w:val="24"/>
        </w:rPr>
        <w:t>kuna</w:t>
      </w:r>
      <w:r w:rsidRPr="001F592E">
        <w:rPr>
          <w:rFonts w:ascii="Times New Roman" w:hAnsi="Times New Roman" w:cs="Times New Roman"/>
          <w:sz w:val="24"/>
          <w:szCs w:val="24"/>
        </w:rPr>
        <w:t xml:space="preserve"> otpada na Općinu </w:t>
      </w:r>
      <w:r w:rsidR="006E6A54">
        <w:rPr>
          <w:rFonts w:ascii="Times New Roman" w:hAnsi="Times New Roman" w:cs="Times New Roman"/>
          <w:sz w:val="24"/>
          <w:szCs w:val="24"/>
        </w:rPr>
        <w:t>Starigrad</w:t>
      </w:r>
      <w:r w:rsidRPr="001F592E">
        <w:rPr>
          <w:rFonts w:ascii="Times New Roman" w:hAnsi="Times New Roman" w:cs="Times New Roman"/>
          <w:sz w:val="24"/>
          <w:szCs w:val="24"/>
        </w:rPr>
        <w:t xml:space="preserve">, dok </w:t>
      </w:r>
      <w:r w:rsidR="002406B3">
        <w:rPr>
          <w:rFonts w:ascii="Times New Roman" w:hAnsi="Times New Roman" w:cs="Times New Roman"/>
          <w:sz w:val="24"/>
          <w:szCs w:val="24"/>
        </w:rPr>
        <w:t>165.561</w:t>
      </w:r>
      <w:r w:rsidRPr="001F592E">
        <w:rPr>
          <w:rFonts w:ascii="Times New Roman" w:hAnsi="Times New Roman" w:cs="Times New Roman"/>
          <w:sz w:val="24"/>
          <w:szCs w:val="24"/>
        </w:rPr>
        <w:t xml:space="preserve"> kuna otpada na Dječji vrtić </w:t>
      </w:r>
      <w:r w:rsidR="006E6A54">
        <w:rPr>
          <w:rFonts w:ascii="Times New Roman" w:hAnsi="Times New Roman" w:cs="Times New Roman"/>
          <w:sz w:val="24"/>
          <w:szCs w:val="24"/>
        </w:rPr>
        <w:t>Osmjeh</w:t>
      </w:r>
      <w:r w:rsidRPr="001F59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A54" w:rsidRDefault="006E6A54" w:rsidP="00CE77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592E" w:rsidRDefault="006E6A54" w:rsidP="00CE77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Prihodi od prodaje nefinancijske imovine (AOP 289) iznose </w:t>
      </w:r>
      <w:r w:rsidR="002406B3">
        <w:rPr>
          <w:rFonts w:ascii="Times New Roman" w:hAnsi="Times New Roman" w:cs="Times New Roman"/>
          <w:sz w:val="24"/>
          <w:szCs w:val="24"/>
        </w:rPr>
        <w:t>465.517</w:t>
      </w:r>
      <w:r>
        <w:rPr>
          <w:rFonts w:ascii="Times New Roman" w:hAnsi="Times New Roman" w:cs="Times New Roman"/>
          <w:sz w:val="24"/>
          <w:szCs w:val="24"/>
        </w:rPr>
        <w:t xml:space="preserve"> kuna i cjelokupan iznos odnosi se na Općinu Starigrad. </w:t>
      </w:r>
      <w:r w:rsidR="001F592E" w:rsidRPr="001F592E">
        <w:rPr>
          <w:rFonts w:ascii="Times New Roman" w:hAnsi="Times New Roman" w:cs="Times New Roman"/>
          <w:sz w:val="24"/>
          <w:szCs w:val="24"/>
        </w:rPr>
        <w:t xml:space="preserve">Ukupno ostvareni rashodi za nabavu nefinancijske imovine </w:t>
      </w:r>
      <w:r>
        <w:rPr>
          <w:rFonts w:ascii="Times New Roman" w:hAnsi="Times New Roman" w:cs="Times New Roman"/>
          <w:sz w:val="24"/>
          <w:szCs w:val="24"/>
        </w:rPr>
        <w:t xml:space="preserve">(AOP 341) </w:t>
      </w:r>
      <w:r w:rsidR="001F592E" w:rsidRPr="001F592E">
        <w:rPr>
          <w:rFonts w:ascii="Times New Roman" w:hAnsi="Times New Roman" w:cs="Times New Roman"/>
          <w:sz w:val="24"/>
          <w:szCs w:val="24"/>
        </w:rPr>
        <w:t xml:space="preserve">iznose </w:t>
      </w:r>
      <w:r w:rsidR="002406B3">
        <w:rPr>
          <w:rFonts w:ascii="Times New Roman" w:hAnsi="Times New Roman" w:cs="Times New Roman"/>
          <w:sz w:val="24"/>
          <w:szCs w:val="24"/>
        </w:rPr>
        <w:t>2.609.369</w:t>
      </w:r>
      <w:r w:rsidR="001F592E" w:rsidRPr="001F592E">
        <w:rPr>
          <w:rFonts w:ascii="Times New Roman" w:hAnsi="Times New Roman" w:cs="Times New Roman"/>
          <w:sz w:val="24"/>
          <w:szCs w:val="24"/>
        </w:rPr>
        <w:t xml:space="preserve"> kuna</w:t>
      </w:r>
      <w:r w:rsidR="002406B3">
        <w:rPr>
          <w:rFonts w:ascii="Times New Roman" w:hAnsi="Times New Roman" w:cs="Times New Roman"/>
          <w:sz w:val="24"/>
          <w:szCs w:val="24"/>
        </w:rPr>
        <w:t xml:space="preserve"> i cjelokupan iznos odnosi se na Općinu Starigrad.</w:t>
      </w:r>
    </w:p>
    <w:p w:rsidR="006E6A54" w:rsidRDefault="006E6A54" w:rsidP="00CE77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E6A54" w:rsidRPr="006E6A54" w:rsidRDefault="006E6A54" w:rsidP="00CE77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Primici od financijske imovine i zaduživanja (AOP 410) nisu ostvareni ni kod Općine Starigrad, ni kod dječjeg vrtića Osmjeh. </w:t>
      </w:r>
      <w:r w:rsidRPr="006E6A54">
        <w:rPr>
          <w:rFonts w:ascii="Times New Roman" w:hAnsi="Times New Roman" w:cs="Times New Roman"/>
          <w:sz w:val="24"/>
          <w:szCs w:val="24"/>
        </w:rPr>
        <w:t>Ukupno ostvareni</w:t>
      </w:r>
      <w:r>
        <w:rPr>
          <w:rFonts w:ascii="Times New Roman" w:hAnsi="Times New Roman" w:cs="Times New Roman"/>
          <w:sz w:val="24"/>
          <w:szCs w:val="24"/>
        </w:rPr>
        <w:t xml:space="preserve"> izdaci za financijsku imovinu i otplatu zajmova (AOP  518) </w:t>
      </w:r>
      <w:r w:rsidRPr="006E6A54">
        <w:rPr>
          <w:rFonts w:ascii="Times New Roman" w:hAnsi="Times New Roman" w:cs="Times New Roman"/>
          <w:sz w:val="24"/>
          <w:szCs w:val="24"/>
        </w:rPr>
        <w:t xml:space="preserve">iznose </w:t>
      </w:r>
      <w:r w:rsidR="002406B3">
        <w:rPr>
          <w:rFonts w:ascii="Times New Roman" w:hAnsi="Times New Roman" w:cs="Times New Roman"/>
          <w:sz w:val="24"/>
          <w:szCs w:val="24"/>
        </w:rPr>
        <w:t>81.459</w:t>
      </w:r>
      <w:r>
        <w:rPr>
          <w:rFonts w:ascii="Times New Roman" w:hAnsi="Times New Roman" w:cs="Times New Roman"/>
          <w:sz w:val="24"/>
          <w:szCs w:val="24"/>
        </w:rPr>
        <w:t xml:space="preserve"> kuna </w:t>
      </w:r>
      <w:r w:rsidRPr="006E6A54">
        <w:rPr>
          <w:rFonts w:ascii="Times New Roman" w:hAnsi="Times New Roman" w:cs="Times New Roman"/>
          <w:sz w:val="24"/>
          <w:szCs w:val="24"/>
        </w:rPr>
        <w:t>i cjelokupan iznos odnosi se na Općinu Starigrad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92E" w:rsidRPr="001F592E" w:rsidRDefault="001F592E" w:rsidP="00CE779A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4FF7" w:rsidRPr="00545734" w:rsidRDefault="00A44FF7" w:rsidP="00CE779A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384"/>
        <w:gridCol w:w="1276"/>
        <w:gridCol w:w="1134"/>
        <w:gridCol w:w="1654"/>
        <w:gridCol w:w="2186"/>
        <w:gridCol w:w="1654"/>
      </w:tblGrid>
      <w:tr w:rsidR="00A44FF7" w:rsidRPr="00AB616C" w:rsidTr="00AB616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1F59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NAZIV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1F59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UKUPNI PRIHODI I PRIMICI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1F59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UKUPNI RASHODI I IZDACI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1F59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VIŠAK/MANJAK</w:t>
            </w:r>
          </w:p>
          <w:p w:rsidR="00A44FF7" w:rsidRPr="00AB616C" w:rsidRDefault="00A44FF7" w:rsidP="001F59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PRIHODA I PRIMITAKA</w:t>
            </w:r>
          </w:p>
        </w:tc>
        <w:tc>
          <w:tcPr>
            <w:tcW w:w="2186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1F59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VIŠAK/MANJAK PRIHODA/PRENESENI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1F59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VIŠAK/MANJAK</w:t>
            </w:r>
          </w:p>
          <w:p w:rsidR="00A44FF7" w:rsidRPr="00AB616C" w:rsidRDefault="00A44FF7" w:rsidP="001F592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PRIHODA RASPOLOŽIVIH /ZA POKRIĆE</w:t>
            </w:r>
          </w:p>
        </w:tc>
      </w:tr>
      <w:tr w:rsidR="00A44FF7" w:rsidRPr="00AB616C" w:rsidTr="00AB616C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A44FF7" w:rsidRPr="00AB616C" w:rsidRDefault="001F592E" w:rsidP="00545734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 xml:space="preserve">Općina Starigrad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44FF7" w:rsidRPr="00AB616C" w:rsidRDefault="005518BF" w:rsidP="0012637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12.385.426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44FF7" w:rsidRPr="00AB616C" w:rsidRDefault="005518BF" w:rsidP="008527D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11.199.614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A44FF7" w:rsidRPr="00AB616C" w:rsidRDefault="005518BF" w:rsidP="004A5CE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1.185.812</w:t>
            </w: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:rsidR="00A44FF7" w:rsidRPr="00AB616C" w:rsidRDefault="005518BF" w:rsidP="00F9199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1.939.532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A44FF7" w:rsidRPr="00AB616C" w:rsidRDefault="005518BF" w:rsidP="004A5CE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3.125.344</w:t>
            </w:r>
          </w:p>
        </w:tc>
      </w:tr>
      <w:tr w:rsidR="00A44FF7" w:rsidRPr="00AB616C" w:rsidTr="00AB616C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545734" w:rsidRPr="00AB616C" w:rsidRDefault="001F592E" w:rsidP="001F59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Dječji vrtić Osmjeh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44FF7" w:rsidRPr="00AB616C" w:rsidRDefault="005518BF" w:rsidP="0012637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817.493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44FF7" w:rsidRPr="00AB616C" w:rsidRDefault="005518BF" w:rsidP="007C4A9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816.80</w:t>
            </w:r>
            <w:r w:rsidR="007C4A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A44FF7" w:rsidRPr="00AB616C" w:rsidRDefault="00BB5D0E" w:rsidP="007C4A9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7C4A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:rsidR="00A44FF7" w:rsidRPr="00AB616C" w:rsidRDefault="00BB5D0E" w:rsidP="004A5CE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19.896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A44FF7" w:rsidRPr="00AB616C" w:rsidRDefault="00BB5D0E" w:rsidP="007C4A9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20.58</w:t>
            </w:r>
            <w:r w:rsidR="007C4A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B616C" w:rsidRPr="00AB616C" w:rsidTr="00AB616C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AB616C" w:rsidRPr="00AB616C" w:rsidRDefault="00AB616C" w:rsidP="001F592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Eliminacija 367 i 671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B616C" w:rsidRPr="00AB616C" w:rsidRDefault="00AB616C" w:rsidP="005518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518BF">
              <w:rPr>
                <w:rFonts w:ascii="Times New Roman" w:hAnsi="Times New Roman" w:cs="Times New Roman"/>
                <w:sz w:val="18"/>
                <w:szCs w:val="18"/>
              </w:rPr>
              <w:t>651.241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B616C" w:rsidRPr="00AB616C" w:rsidRDefault="00AB616C" w:rsidP="005518B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518BF">
              <w:rPr>
                <w:rFonts w:ascii="Times New Roman" w:hAnsi="Times New Roman" w:cs="Times New Roman"/>
                <w:sz w:val="18"/>
                <w:szCs w:val="18"/>
              </w:rPr>
              <w:t>651.241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AB616C" w:rsidRPr="00AB616C" w:rsidRDefault="00AB616C" w:rsidP="004A5CE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:rsidR="00AB616C" w:rsidRPr="00AB616C" w:rsidRDefault="00AB616C" w:rsidP="004A5CE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AB616C" w:rsidRPr="00AB616C" w:rsidRDefault="00AB616C" w:rsidP="004A5CE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FF7" w:rsidRPr="00AB616C" w:rsidTr="00AB616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A44FF7" w:rsidRPr="00AB616C" w:rsidRDefault="00A44FF7" w:rsidP="00AC27E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UKUPNO: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4FF7" w:rsidRPr="00AB616C" w:rsidRDefault="005518BF" w:rsidP="0012637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12.551.678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44FF7" w:rsidRPr="00AB616C" w:rsidRDefault="001F592E" w:rsidP="00BB5D0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16C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 w:rsidR="005518BF">
              <w:rPr>
                <w:rFonts w:ascii="Times New Roman" w:hAnsi="Times New Roman" w:cs="Times New Roman"/>
                <w:b/>
                <w:sz w:val="18"/>
                <w:szCs w:val="18"/>
              </w:rPr>
              <w:t>365.17</w:t>
            </w:r>
            <w:r w:rsidR="00BB5D0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A44FF7" w:rsidRPr="00AB616C" w:rsidRDefault="00BB5D0E" w:rsidP="004A5CE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1.186.503</w:t>
            </w:r>
          </w:p>
        </w:tc>
        <w:tc>
          <w:tcPr>
            <w:tcW w:w="2186" w:type="dxa"/>
            <w:shd w:val="clear" w:color="auto" w:fill="D9D9D9" w:themeFill="background1" w:themeFillShade="D9"/>
            <w:vAlign w:val="center"/>
          </w:tcPr>
          <w:p w:rsidR="00A44FF7" w:rsidRPr="00AB616C" w:rsidRDefault="00BB5D0E" w:rsidP="00FE7B1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1.959.428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A44FF7" w:rsidRPr="00AB616C" w:rsidRDefault="00BB5D0E" w:rsidP="00FE7B1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3.145.931</w:t>
            </w:r>
          </w:p>
        </w:tc>
      </w:tr>
    </w:tbl>
    <w:p w:rsidR="00A44FF7" w:rsidRPr="00545734" w:rsidRDefault="00A44FF7" w:rsidP="00A44FF7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85685" w:rsidRDefault="00585685" w:rsidP="00AB616C">
      <w:pPr>
        <w:pStyle w:val="NoSpacing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616C" w:rsidRDefault="00AB616C" w:rsidP="00AB616C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616C" w:rsidRPr="00AC2F44" w:rsidRDefault="00AB616C" w:rsidP="00AB616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>Bilješke uz obrazac Obveze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44FF7" w:rsidRPr="00181EC8" w:rsidRDefault="00A44FF7" w:rsidP="00CE779A">
      <w:pPr>
        <w:pStyle w:val="NoSpacing"/>
        <w:jc w:val="both"/>
        <w:rPr>
          <w:b/>
        </w:rPr>
      </w:pPr>
    </w:p>
    <w:p w:rsidR="0034311F" w:rsidRPr="007A3F38" w:rsidRDefault="00AB616C" w:rsidP="00AB616C">
      <w:pPr>
        <w:jc w:val="both"/>
        <w:rPr>
          <w:rFonts w:ascii="Times New Roman" w:hAnsi="Times New Roman" w:cs="Times New Roman"/>
          <w:sz w:val="24"/>
          <w:szCs w:val="24"/>
        </w:rPr>
      </w:pPr>
      <w:r w:rsidRPr="00AB616C">
        <w:rPr>
          <w:rFonts w:ascii="Times New Roman" w:hAnsi="Times New Roman" w:cs="Times New Roman"/>
          <w:sz w:val="24"/>
          <w:szCs w:val="24"/>
        </w:rPr>
        <w:t xml:space="preserve">Stanje obveza na početku izvještajnog razdoblja je iznosilo </w:t>
      </w:r>
      <w:r w:rsidR="001A78A9">
        <w:rPr>
          <w:rFonts w:ascii="Times New Roman" w:hAnsi="Times New Roman" w:cs="Times New Roman"/>
          <w:sz w:val="24"/>
          <w:szCs w:val="24"/>
        </w:rPr>
        <w:t>460.115</w:t>
      </w:r>
      <w:r w:rsidRPr="00AB616C">
        <w:rPr>
          <w:rFonts w:ascii="Times New Roman" w:hAnsi="Times New Roman" w:cs="Times New Roman"/>
          <w:sz w:val="24"/>
          <w:szCs w:val="24"/>
        </w:rPr>
        <w:t xml:space="preserve"> kuna, dok je povećanje obveza u izvještajnom razdoblju iznosilo </w:t>
      </w:r>
      <w:r w:rsidR="001A78A9">
        <w:rPr>
          <w:rFonts w:ascii="Times New Roman" w:hAnsi="Times New Roman" w:cs="Times New Roman"/>
          <w:sz w:val="24"/>
          <w:szCs w:val="24"/>
        </w:rPr>
        <w:t>11.024.667</w:t>
      </w:r>
      <w:r w:rsidRPr="00AB616C">
        <w:rPr>
          <w:rFonts w:ascii="Times New Roman" w:hAnsi="Times New Roman" w:cs="Times New Roman"/>
          <w:sz w:val="24"/>
          <w:szCs w:val="24"/>
        </w:rPr>
        <w:t xml:space="preserve"> kuna. Podmirene obveze u toku izvještajnog razdoblja iznosile su </w:t>
      </w:r>
      <w:r w:rsidR="001A78A9">
        <w:rPr>
          <w:rFonts w:ascii="Times New Roman" w:hAnsi="Times New Roman" w:cs="Times New Roman"/>
          <w:sz w:val="24"/>
          <w:szCs w:val="24"/>
        </w:rPr>
        <w:t>10.824.511</w:t>
      </w:r>
      <w:r w:rsidR="0034311F">
        <w:rPr>
          <w:rFonts w:ascii="Times New Roman" w:hAnsi="Times New Roman" w:cs="Times New Roman"/>
          <w:sz w:val="24"/>
          <w:szCs w:val="24"/>
        </w:rPr>
        <w:t xml:space="preserve"> kuna</w:t>
      </w:r>
      <w:r w:rsidRPr="00AB616C">
        <w:rPr>
          <w:rFonts w:ascii="Times New Roman" w:hAnsi="Times New Roman" w:cs="Times New Roman"/>
          <w:sz w:val="24"/>
          <w:szCs w:val="24"/>
        </w:rPr>
        <w:t xml:space="preserve">, pa je stanje obveza na kraju izvještajnog razdoblja iznosilo </w:t>
      </w:r>
      <w:r w:rsidR="001A78A9">
        <w:rPr>
          <w:rFonts w:ascii="Times New Roman" w:hAnsi="Times New Roman" w:cs="Times New Roman"/>
          <w:sz w:val="24"/>
          <w:szCs w:val="24"/>
        </w:rPr>
        <w:t>660.271</w:t>
      </w:r>
      <w:r w:rsidRPr="00AB616C">
        <w:rPr>
          <w:rFonts w:ascii="Times New Roman" w:hAnsi="Times New Roman" w:cs="Times New Roman"/>
          <w:sz w:val="24"/>
          <w:szCs w:val="24"/>
        </w:rPr>
        <w:t xml:space="preserve"> kuna. Obveze na kraju izvještajnog razdoblja uključivale su dospjele obveze u iznosu od </w:t>
      </w:r>
      <w:r w:rsidR="001A78A9">
        <w:rPr>
          <w:rFonts w:ascii="Times New Roman" w:hAnsi="Times New Roman" w:cs="Times New Roman"/>
          <w:sz w:val="24"/>
          <w:szCs w:val="24"/>
        </w:rPr>
        <w:t>37.972</w:t>
      </w:r>
      <w:r w:rsidRPr="00AB616C">
        <w:rPr>
          <w:rFonts w:ascii="Times New Roman" w:hAnsi="Times New Roman" w:cs="Times New Roman"/>
          <w:sz w:val="24"/>
          <w:szCs w:val="24"/>
        </w:rPr>
        <w:t xml:space="preserve"> kune, te nedospjele obveze u iznosu od </w:t>
      </w:r>
      <w:r w:rsidR="001A78A9">
        <w:rPr>
          <w:rFonts w:ascii="Times New Roman" w:hAnsi="Times New Roman" w:cs="Times New Roman"/>
          <w:sz w:val="24"/>
          <w:szCs w:val="24"/>
        </w:rPr>
        <w:t>622.298</w:t>
      </w:r>
      <w:r w:rsidR="007A3F38">
        <w:rPr>
          <w:rFonts w:ascii="Times New Roman" w:hAnsi="Times New Roman" w:cs="Times New Roman"/>
          <w:sz w:val="24"/>
          <w:szCs w:val="24"/>
        </w:rPr>
        <w:t xml:space="preserve"> kune</w:t>
      </w:r>
    </w:p>
    <w:tbl>
      <w:tblPr>
        <w:tblStyle w:val="TableGrid"/>
        <w:tblW w:w="0" w:type="auto"/>
        <w:tblInd w:w="108" w:type="dxa"/>
        <w:tblLook w:val="04A0"/>
      </w:tblPr>
      <w:tblGrid>
        <w:gridCol w:w="2214"/>
        <w:gridCol w:w="2322"/>
        <w:gridCol w:w="2322"/>
        <w:gridCol w:w="2073"/>
      </w:tblGrid>
      <w:tr w:rsidR="00FE7B1F" w:rsidRPr="00AB616C" w:rsidTr="0034311F">
        <w:tc>
          <w:tcPr>
            <w:tcW w:w="2214" w:type="dxa"/>
            <w:shd w:val="clear" w:color="auto" w:fill="D9D9D9" w:themeFill="background1" w:themeFillShade="D9"/>
          </w:tcPr>
          <w:p w:rsidR="00FE7B1F" w:rsidRPr="00AB616C" w:rsidRDefault="00FE7B1F">
            <w:pPr>
              <w:rPr>
                <w:rFonts w:ascii="Times New Roman" w:hAnsi="Times New Roman" w:cs="Times New Roman"/>
                <w:b/>
              </w:rPr>
            </w:pPr>
            <w:r w:rsidRPr="00AB616C">
              <w:rPr>
                <w:rFonts w:ascii="Times New Roman" w:hAnsi="Times New Roman" w:cs="Times New Roman"/>
                <w:b/>
              </w:rPr>
              <w:lastRenderedPageBreak/>
              <w:t>NAZIV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FE7B1F" w:rsidRPr="00AB616C" w:rsidRDefault="00FE7B1F" w:rsidP="00F91991">
            <w:pPr>
              <w:rPr>
                <w:rFonts w:ascii="Times New Roman" w:hAnsi="Times New Roman" w:cs="Times New Roman"/>
                <w:b/>
              </w:rPr>
            </w:pPr>
            <w:r w:rsidRPr="00AB616C">
              <w:rPr>
                <w:rFonts w:ascii="Times New Roman" w:hAnsi="Times New Roman" w:cs="Times New Roman"/>
                <w:b/>
              </w:rPr>
              <w:t>UKUPNE OBVE</w:t>
            </w:r>
            <w:r w:rsidR="00F91991" w:rsidRPr="00AB616C">
              <w:rPr>
                <w:rFonts w:ascii="Times New Roman" w:hAnsi="Times New Roman" w:cs="Times New Roman"/>
                <w:b/>
              </w:rPr>
              <w:t>Z</w:t>
            </w:r>
            <w:r w:rsidRPr="00AB616C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FE7B1F" w:rsidRPr="00AB616C" w:rsidRDefault="00FE7B1F">
            <w:pPr>
              <w:rPr>
                <w:rFonts w:ascii="Times New Roman" w:hAnsi="Times New Roman" w:cs="Times New Roman"/>
                <w:b/>
              </w:rPr>
            </w:pPr>
            <w:r w:rsidRPr="00AB616C">
              <w:rPr>
                <w:rFonts w:ascii="Times New Roman" w:hAnsi="Times New Roman" w:cs="Times New Roman"/>
                <w:b/>
              </w:rPr>
              <w:t>DOSPIJELE OBVEZE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FE7B1F" w:rsidRPr="00AB616C" w:rsidRDefault="00FE7B1F">
            <w:pPr>
              <w:rPr>
                <w:rFonts w:ascii="Times New Roman" w:hAnsi="Times New Roman" w:cs="Times New Roman"/>
                <w:b/>
              </w:rPr>
            </w:pPr>
            <w:r w:rsidRPr="00AB616C">
              <w:rPr>
                <w:rFonts w:ascii="Times New Roman" w:hAnsi="Times New Roman" w:cs="Times New Roman"/>
                <w:b/>
              </w:rPr>
              <w:t>NEDOSPIJELE OBVEZE</w:t>
            </w:r>
          </w:p>
        </w:tc>
      </w:tr>
      <w:tr w:rsidR="00FE7B1F" w:rsidRPr="0097743A" w:rsidTr="0034311F">
        <w:tc>
          <w:tcPr>
            <w:tcW w:w="2214" w:type="dxa"/>
            <w:shd w:val="clear" w:color="auto" w:fill="F2F2F2" w:themeFill="background1" w:themeFillShade="F2"/>
          </w:tcPr>
          <w:p w:rsidR="00FE7B1F" w:rsidRPr="0097743A" w:rsidRDefault="00AB616C">
            <w:pPr>
              <w:rPr>
                <w:rFonts w:ascii="Times New Roman" w:hAnsi="Times New Roman" w:cs="Times New Roman"/>
              </w:rPr>
            </w:pPr>
            <w:r w:rsidRPr="0097743A">
              <w:rPr>
                <w:rFonts w:ascii="Times New Roman" w:hAnsi="Times New Roman" w:cs="Times New Roman"/>
              </w:rPr>
              <w:t xml:space="preserve">Općina Starigrad 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E7B1F" w:rsidRPr="0097743A" w:rsidRDefault="001A78A9" w:rsidP="00525D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607.004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E7B1F" w:rsidRPr="0097743A" w:rsidRDefault="001A78A9" w:rsidP="00525D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37.972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FE7B1F" w:rsidRPr="0097743A" w:rsidRDefault="001A78A9" w:rsidP="00525D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569.032</w:t>
            </w:r>
          </w:p>
        </w:tc>
      </w:tr>
      <w:tr w:rsidR="00FE7B1F" w:rsidRPr="0097743A" w:rsidTr="0034311F">
        <w:tc>
          <w:tcPr>
            <w:tcW w:w="2214" w:type="dxa"/>
            <w:shd w:val="clear" w:color="auto" w:fill="F2F2F2" w:themeFill="background1" w:themeFillShade="F2"/>
          </w:tcPr>
          <w:p w:rsidR="00FE7B1F" w:rsidRPr="0097743A" w:rsidRDefault="00AB616C">
            <w:pPr>
              <w:rPr>
                <w:rFonts w:ascii="Times New Roman" w:hAnsi="Times New Roman" w:cs="Times New Roman"/>
              </w:rPr>
            </w:pPr>
            <w:r w:rsidRPr="0097743A">
              <w:rPr>
                <w:rFonts w:ascii="Times New Roman" w:hAnsi="Times New Roman" w:cs="Times New Roman"/>
              </w:rPr>
              <w:t>Dječji vrtić Osmjeh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E7B1F" w:rsidRPr="0097743A" w:rsidRDefault="001A78A9" w:rsidP="006069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53.267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E7B1F" w:rsidRPr="0097743A" w:rsidRDefault="0034311F" w:rsidP="006069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FE7B1F" w:rsidRPr="0097743A" w:rsidRDefault="001A78A9" w:rsidP="006069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53.267</w:t>
            </w:r>
          </w:p>
        </w:tc>
      </w:tr>
      <w:tr w:rsidR="00FE7B1F" w:rsidRPr="00AB616C" w:rsidTr="0034311F">
        <w:tc>
          <w:tcPr>
            <w:tcW w:w="2214" w:type="dxa"/>
            <w:shd w:val="clear" w:color="auto" w:fill="D9D9D9" w:themeFill="background1" w:themeFillShade="D9"/>
          </w:tcPr>
          <w:p w:rsidR="00FE7B1F" w:rsidRPr="00AB616C" w:rsidRDefault="00FE7B1F" w:rsidP="00AC27EE">
            <w:pPr>
              <w:rPr>
                <w:rFonts w:ascii="Times New Roman" w:hAnsi="Times New Roman" w:cs="Times New Roman"/>
                <w:b/>
              </w:rPr>
            </w:pPr>
            <w:r w:rsidRPr="00AB616C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FE7B1F" w:rsidRPr="00AB616C" w:rsidRDefault="001A78A9" w:rsidP="00525D5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660.271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AB616C" w:rsidRPr="00AB616C" w:rsidRDefault="001A78A9" w:rsidP="0097743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37.972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FE7B1F" w:rsidRPr="00AB616C" w:rsidRDefault="001A78A9" w:rsidP="00525D5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622.298</w:t>
            </w:r>
          </w:p>
        </w:tc>
      </w:tr>
    </w:tbl>
    <w:p w:rsidR="007A3F38" w:rsidRDefault="007A3F38" w:rsidP="0034311F">
      <w:pPr>
        <w:pBdr>
          <w:bottom w:val="single" w:sz="4" w:space="1" w:color="auto"/>
        </w:pBdr>
        <w:rPr>
          <w:b/>
        </w:rPr>
      </w:pPr>
    </w:p>
    <w:p w:rsidR="007A3F38" w:rsidRDefault="007A3F38" w:rsidP="0034311F">
      <w:pPr>
        <w:pBdr>
          <w:bottom w:val="single" w:sz="4" w:space="1" w:color="auto"/>
        </w:pBdr>
        <w:rPr>
          <w:b/>
        </w:rPr>
      </w:pPr>
    </w:p>
    <w:p w:rsidR="00A62F0A" w:rsidRDefault="00A62F0A" w:rsidP="0034311F">
      <w:pPr>
        <w:pStyle w:val="NoSpacing"/>
        <w:jc w:val="both"/>
        <w:rPr>
          <w:rFonts w:ascii="Calibri" w:eastAsia="Times New Roman" w:hAnsi="Calibri" w:cs="Times New Roman"/>
          <w:b/>
        </w:rPr>
      </w:pPr>
    </w:p>
    <w:p w:rsidR="0034311F" w:rsidRDefault="0034311F" w:rsidP="0034311F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 xml:space="preserve">Bilješke uz obrazac </w:t>
      </w:r>
      <w:r>
        <w:rPr>
          <w:rFonts w:ascii="Times New Roman" w:hAnsi="Times New Roman" w:cs="Times New Roman"/>
          <w:b/>
          <w:sz w:val="26"/>
          <w:szCs w:val="26"/>
        </w:rPr>
        <w:t>Rashodi prema funkcijskoj klasifikaciji:</w:t>
      </w:r>
    </w:p>
    <w:p w:rsidR="0034311F" w:rsidRPr="0034311F" w:rsidRDefault="0034311F" w:rsidP="0034311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4311F" w:rsidRPr="005879EE" w:rsidRDefault="0034311F" w:rsidP="00525D5B">
      <w:pPr>
        <w:tabs>
          <w:tab w:val="left" w:pos="4080"/>
        </w:tabs>
        <w:jc w:val="both"/>
        <w:rPr>
          <w:rFonts w:ascii="Calibri" w:eastAsia="Times New Roman" w:hAnsi="Calibri" w:cs="Times New Roman"/>
          <w:b/>
        </w:rPr>
      </w:pPr>
      <w:r w:rsidRPr="008F21C1">
        <w:rPr>
          <w:rFonts w:ascii="Times New Roman" w:hAnsi="Times New Roman" w:cs="Times New Roman"/>
          <w:sz w:val="24"/>
          <w:szCs w:val="24"/>
        </w:rPr>
        <w:t>Prema funkcijskoj klasifikaciji razvrstani su rashodi poslovanja i rashodi za nabavu nefinancijske imovine</w:t>
      </w:r>
      <w:r>
        <w:rPr>
          <w:rFonts w:ascii="Times New Roman" w:hAnsi="Times New Roman" w:cs="Times New Roman"/>
          <w:sz w:val="24"/>
          <w:szCs w:val="24"/>
        </w:rPr>
        <w:t xml:space="preserve"> kako slijedi:</w:t>
      </w:r>
    </w:p>
    <w:tbl>
      <w:tblPr>
        <w:tblW w:w="5580" w:type="dxa"/>
        <w:tblLook w:val="04A0"/>
      </w:tblPr>
      <w:tblGrid>
        <w:gridCol w:w="2320"/>
        <w:gridCol w:w="1640"/>
        <w:gridCol w:w="1620"/>
      </w:tblGrid>
      <w:tr w:rsidR="0034311F" w:rsidTr="0034311F">
        <w:trPr>
          <w:trHeight w:val="37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11F" w:rsidRPr="006C0AF6" w:rsidRDefault="0034311F" w:rsidP="003431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0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11F" w:rsidRPr="006C0AF6" w:rsidRDefault="0034311F" w:rsidP="00A62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0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A62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C0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godina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11F" w:rsidRPr="006C0AF6" w:rsidRDefault="0034311F" w:rsidP="00A62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0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A62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C0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godina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Opće javne usluge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A62133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1.867.727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DB24B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1.</w:t>
            </w:r>
            <w:r w:rsidR="00DB24BE">
              <w:rPr>
                <w:rFonts w:ascii="Times New Roman" w:hAnsi="Times New Roman" w:cs="Times New Roman"/>
              </w:rPr>
              <w:t>962.538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Obrana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jc w:val="right"/>
              <w:rPr>
                <w:rFonts w:ascii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0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Javni red i sigurnost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382.700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579.000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Ekonomski poslovi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131.500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136.55</w:t>
            </w:r>
            <w:r w:rsidR="0034311F" w:rsidRPr="006C0AF6">
              <w:rPr>
                <w:rFonts w:ascii="Times New Roman" w:hAnsi="Times New Roman" w:cs="Times New Roman"/>
              </w:rPr>
              <w:t>0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Zaštita okoliša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127.091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172.729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 xml:space="preserve">Usluge unapređenja stanovanja i zajednice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7.210.103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6.745.291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Zdravstvo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4311F" w:rsidRPr="006C0AF6" w:rsidRDefault="0034311F" w:rsidP="006E5032">
            <w:pPr>
              <w:jc w:val="right"/>
              <w:rPr>
                <w:rFonts w:ascii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30.999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4311F" w:rsidRPr="006C0AF6" w:rsidRDefault="00DB24BE" w:rsidP="006E50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15.086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Rekreacija, kultura i religija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241.192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420.256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Obrazovanje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1.081.332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DB24B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hAnsi="Times New Roman" w:cs="Times New Roman"/>
              </w:rPr>
              <w:t>1.</w:t>
            </w:r>
            <w:r w:rsidR="00DB24BE">
              <w:rPr>
                <w:rFonts w:ascii="Times New Roman" w:hAnsi="Times New Roman" w:cs="Times New Roman"/>
              </w:rPr>
              <w:t>047.775</w:t>
            </w:r>
          </w:p>
        </w:tc>
      </w:tr>
      <w:tr w:rsidR="0034311F" w:rsidTr="0034311F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</w:rPr>
            </w:pPr>
            <w:r w:rsidRPr="006C0AF6">
              <w:rPr>
                <w:rFonts w:ascii="Times New Roman" w:eastAsia="Times New Roman" w:hAnsi="Times New Roman" w:cs="Times New Roman"/>
              </w:rPr>
              <w:t>Socijalna zaštita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176.114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204.490</w:t>
            </w:r>
          </w:p>
        </w:tc>
      </w:tr>
      <w:tr w:rsidR="0034311F" w:rsidTr="0034311F">
        <w:trPr>
          <w:trHeight w:val="609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11F" w:rsidRPr="006C0AF6" w:rsidRDefault="0034311F" w:rsidP="006E503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0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11.248.303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311F" w:rsidRPr="006C0AF6" w:rsidRDefault="00DB24BE" w:rsidP="006E50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11.283.715</w:t>
            </w:r>
          </w:p>
        </w:tc>
      </w:tr>
    </w:tbl>
    <w:p w:rsidR="00FE079C" w:rsidRDefault="00FE079C" w:rsidP="007A3F38">
      <w:pPr>
        <w:tabs>
          <w:tab w:val="left" w:pos="4080"/>
        </w:tabs>
        <w:jc w:val="both"/>
        <w:rPr>
          <w:rFonts w:ascii="Calibri" w:eastAsia="Times New Roman" w:hAnsi="Calibri" w:cs="Times New Roman"/>
        </w:rPr>
      </w:pPr>
    </w:p>
    <w:p w:rsidR="007A3F38" w:rsidRDefault="00FE079C" w:rsidP="007A3F38">
      <w:pPr>
        <w:tabs>
          <w:tab w:val="left" w:pos="40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F38">
        <w:rPr>
          <w:rFonts w:ascii="Times New Roman" w:eastAsia="Times New Roman" w:hAnsi="Times New Roman" w:cs="Times New Roman"/>
          <w:sz w:val="24"/>
          <w:szCs w:val="24"/>
        </w:rPr>
        <w:t xml:space="preserve">Rashodi za 2018. </w:t>
      </w:r>
      <w:r w:rsidR="007A3F3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A3F38">
        <w:rPr>
          <w:rFonts w:ascii="Times New Roman" w:eastAsia="Times New Roman" w:hAnsi="Times New Roman" w:cs="Times New Roman"/>
          <w:sz w:val="24"/>
          <w:szCs w:val="24"/>
        </w:rPr>
        <w:t xml:space="preserve">odini odnose se na rashode Općine Starigrad u iznosu od 10.466.915 koji su razvrstani u opće javne usluge, javni red i sigurnost, ekonomske poslove, zaštitu okoliša, usluge unapređenja stanovanja i zajednice, zdravstvo, rekreacija, kultura i religija, obrazovanje i socijalna zaštite i rashode Dječjeg vrtića Osmjeh u iznosu </w:t>
      </w:r>
      <w:r w:rsidR="007A3F38" w:rsidRPr="007A3F38">
        <w:rPr>
          <w:rFonts w:ascii="Times New Roman" w:eastAsia="Times New Roman" w:hAnsi="Times New Roman" w:cs="Times New Roman"/>
          <w:sz w:val="24"/>
          <w:szCs w:val="24"/>
        </w:rPr>
        <w:t xml:space="preserve">816.803 </w:t>
      </w:r>
      <w:r w:rsidRPr="007A3F38">
        <w:rPr>
          <w:rFonts w:ascii="Times New Roman" w:eastAsia="Times New Roman" w:hAnsi="Times New Roman" w:cs="Times New Roman"/>
          <w:sz w:val="24"/>
          <w:szCs w:val="24"/>
        </w:rPr>
        <w:t>od koji su razvrstani u Obrazovanje.</w:t>
      </w:r>
    </w:p>
    <w:p w:rsidR="007A3F38" w:rsidRDefault="007A3F38" w:rsidP="007A3F38">
      <w:pPr>
        <w:pBdr>
          <w:bottom w:val="single" w:sz="4" w:space="1" w:color="auto"/>
        </w:pBdr>
        <w:tabs>
          <w:tab w:val="left" w:pos="40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F0A" w:rsidRPr="00AC2F44" w:rsidRDefault="00A62F0A" w:rsidP="00A62F0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lastRenderedPageBreak/>
        <w:t>Bilješke uz obrazac Bilanca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62F0A" w:rsidRDefault="00A62F0A" w:rsidP="00A62F0A">
      <w:pPr>
        <w:pStyle w:val="NoSpacing"/>
        <w:jc w:val="both"/>
        <w:rPr>
          <w:rFonts w:ascii="Calibri" w:eastAsia="Times New Roman" w:hAnsi="Calibri" w:cs="Times New Roman"/>
        </w:rPr>
      </w:pPr>
    </w:p>
    <w:p w:rsidR="00D750B8" w:rsidRDefault="005B7BE9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imovina u 2018</w:t>
      </w:r>
      <w:r w:rsidR="00A62F0A">
        <w:rPr>
          <w:rFonts w:ascii="Times New Roman" w:hAnsi="Times New Roman" w:cs="Times New Roman"/>
          <w:sz w:val="24"/>
          <w:szCs w:val="24"/>
        </w:rPr>
        <w:t xml:space="preserve">. godini </w:t>
      </w:r>
      <w:r>
        <w:rPr>
          <w:rFonts w:ascii="Times New Roman" w:hAnsi="Times New Roman" w:cs="Times New Roman"/>
          <w:sz w:val="24"/>
          <w:szCs w:val="24"/>
        </w:rPr>
        <w:t>smanjena</w:t>
      </w:r>
      <w:r w:rsidR="00A62F0A">
        <w:rPr>
          <w:rFonts w:ascii="Times New Roman" w:hAnsi="Times New Roman" w:cs="Times New Roman"/>
          <w:sz w:val="24"/>
          <w:szCs w:val="24"/>
        </w:rPr>
        <w:t xml:space="preserve"> je u odnosu na prethodnu godinu i iznosi </w:t>
      </w:r>
      <w:r>
        <w:rPr>
          <w:rFonts w:ascii="Times New Roman" w:hAnsi="Times New Roman" w:cs="Times New Roman"/>
          <w:sz w:val="24"/>
          <w:szCs w:val="24"/>
        </w:rPr>
        <w:t>270.901.204</w:t>
      </w:r>
      <w:r w:rsidR="00A62F0A">
        <w:rPr>
          <w:rFonts w:ascii="Times New Roman" w:hAnsi="Times New Roman" w:cs="Times New Roman"/>
          <w:sz w:val="24"/>
          <w:szCs w:val="24"/>
        </w:rPr>
        <w:t xml:space="preserve"> kuna. Obveze su se u odnosu na početno stanje </w:t>
      </w:r>
      <w:r>
        <w:rPr>
          <w:rFonts w:ascii="Times New Roman" w:hAnsi="Times New Roman" w:cs="Times New Roman"/>
          <w:sz w:val="24"/>
          <w:szCs w:val="24"/>
        </w:rPr>
        <w:t>povećale i na dan 31. prosinca 2018</w:t>
      </w:r>
      <w:r w:rsidR="00A62F0A">
        <w:rPr>
          <w:rFonts w:ascii="Times New Roman" w:hAnsi="Times New Roman" w:cs="Times New Roman"/>
          <w:sz w:val="24"/>
          <w:szCs w:val="24"/>
        </w:rPr>
        <w:t xml:space="preserve">. godine iznose </w:t>
      </w:r>
      <w:r>
        <w:rPr>
          <w:rFonts w:ascii="Times New Roman" w:hAnsi="Times New Roman" w:cs="Times New Roman"/>
          <w:sz w:val="24"/>
          <w:szCs w:val="24"/>
        </w:rPr>
        <w:t>666.981</w:t>
      </w:r>
      <w:r w:rsidR="00A62F0A">
        <w:rPr>
          <w:rFonts w:ascii="Times New Roman" w:hAnsi="Times New Roman" w:cs="Times New Roman"/>
          <w:sz w:val="24"/>
          <w:szCs w:val="24"/>
        </w:rPr>
        <w:t xml:space="preserve"> kuna (uključujući odgođeno plaćanje rashoda i naplaćene prihode budućeg razdoblja u iznosu </w:t>
      </w:r>
      <w:r>
        <w:rPr>
          <w:rFonts w:ascii="Times New Roman" w:hAnsi="Times New Roman" w:cs="Times New Roman"/>
          <w:sz w:val="24"/>
          <w:szCs w:val="24"/>
        </w:rPr>
        <w:t>6.713</w:t>
      </w:r>
      <w:r w:rsidR="00A62F0A">
        <w:rPr>
          <w:rFonts w:ascii="Times New Roman" w:hAnsi="Times New Roman" w:cs="Times New Roman"/>
          <w:sz w:val="24"/>
          <w:szCs w:val="24"/>
        </w:rPr>
        <w:t xml:space="preserve"> kuna), dok su vlastiti izvori </w:t>
      </w:r>
      <w:r>
        <w:rPr>
          <w:rFonts w:ascii="Times New Roman" w:hAnsi="Times New Roman" w:cs="Times New Roman"/>
          <w:sz w:val="24"/>
          <w:szCs w:val="24"/>
        </w:rPr>
        <w:t>smanjeni</w:t>
      </w:r>
      <w:r w:rsidR="00A62F0A">
        <w:rPr>
          <w:rFonts w:ascii="Times New Roman" w:hAnsi="Times New Roman" w:cs="Times New Roman"/>
          <w:sz w:val="24"/>
          <w:szCs w:val="24"/>
        </w:rPr>
        <w:t xml:space="preserve"> u odnosu na prethodnu godinu i iznose </w:t>
      </w:r>
      <w:r>
        <w:rPr>
          <w:rFonts w:ascii="Times New Roman" w:hAnsi="Times New Roman" w:cs="Times New Roman"/>
          <w:sz w:val="24"/>
          <w:szCs w:val="24"/>
        </w:rPr>
        <w:t>270.234.222</w:t>
      </w:r>
      <w:r w:rsidR="00A62F0A">
        <w:rPr>
          <w:rFonts w:ascii="Times New Roman" w:hAnsi="Times New Roman" w:cs="Times New Roman"/>
          <w:sz w:val="24"/>
          <w:szCs w:val="24"/>
        </w:rPr>
        <w:t xml:space="preserve"> kuna.   </w:t>
      </w:r>
    </w:p>
    <w:p w:rsidR="007A3F38" w:rsidRPr="00A62F0A" w:rsidRDefault="007A3F38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0" w:type="dxa"/>
        <w:tblInd w:w="93" w:type="dxa"/>
        <w:tblLook w:val="04A0"/>
      </w:tblPr>
      <w:tblGrid>
        <w:gridCol w:w="2320"/>
        <w:gridCol w:w="1640"/>
        <w:gridCol w:w="1620"/>
        <w:gridCol w:w="1500"/>
        <w:gridCol w:w="1480"/>
        <w:gridCol w:w="1660"/>
      </w:tblGrid>
      <w:tr w:rsidR="00D750B8" w:rsidRPr="00404F3D" w:rsidTr="00A62F0A">
        <w:trPr>
          <w:trHeight w:val="52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0B8" w:rsidRPr="00404F3D" w:rsidRDefault="00D750B8" w:rsidP="006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4" w:colLast="4"/>
            <w:r w:rsidRPr="00404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0B8" w:rsidRPr="00404F3D" w:rsidRDefault="00D750B8" w:rsidP="006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Nefinancijska imovina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0B8" w:rsidRPr="00404F3D" w:rsidRDefault="00D750B8" w:rsidP="006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Financijska imovina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0B8" w:rsidRPr="00404F3D" w:rsidRDefault="00A62F0A" w:rsidP="006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Imovina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0B8" w:rsidRPr="00404F3D" w:rsidRDefault="00D750B8" w:rsidP="006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Vlastiti izvori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0B8" w:rsidRPr="00404F3D" w:rsidRDefault="00A62F0A" w:rsidP="006E5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Obveze</w:t>
            </w:r>
          </w:p>
        </w:tc>
      </w:tr>
      <w:tr w:rsidR="00D750B8" w:rsidRPr="00404F3D" w:rsidTr="00A62F0A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750B8" w:rsidRPr="00404F3D" w:rsidRDefault="00A62F0A" w:rsidP="006E50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F3D">
              <w:rPr>
                <w:rFonts w:ascii="Times New Roman" w:hAnsi="Times New Roman" w:cs="Times New Roman"/>
                <w:sz w:val="20"/>
                <w:szCs w:val="20"/>
              </w:rPr>
              <w:t xml:space="preserve">Općina Starigrad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A62F0A" w:rsidP="006F3B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F3D">
              <w:rPr>
                <w:rFonts w:ascii="Times New Roman" w:hAnsi="Times New Roman" w:cs="Times New Roman"/>
                <w:sz w:val="20"/>
                <w:szCs w:val="20"/>
              </w:rPr>
              <w:t>258.</w:t>
            </w:r>
            <w:r w:rsidR="006F3B62">
              <w:rPr>
                <w:rFonts w:ascii="Times New Roman" w:hAnsi="Times New Roman" w:cs="Times New Roman"/>
                <w:sz w:val="20"/>
                <w:szCs w:val="20"/>
              </w:rPr>
              <w:t>478.758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12.309.731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270.788.489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7738D5" w:rsidP="006E50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270.174.773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613.715</w:t>
            </w:r>
          </w:p>
        </w:tc>
      </w:tr>
      <w:tr w:rsidR="00D750B8" w:rsidRPr="00404F3D" w:rsidTr="00A62F0A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750B8" w:rsidRPr="00404F3D" w:rsidRDefault="00E9554A" w:rsidP="006E50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F3D">
              <w:rPr>
                <w:rFonts w:ascii="Times New Roman" w:hAnsi="Times New Roman" w:cs="Times New Roman"/>
                <w:sz w:val="20"/>
                <w:szCs w:val="20"/>
              </w:rPr>
              <w:t>Dječji vrtić O</w:t>
            </w:r>
            <w:r w:rsidR="00A62F0A" w:rsidRPr="00404F3D">
              <w:rPr>
                <w:rFonts w:ascii="Times New Roman" w:hAnsi="Times New Roman" w:cs="Times New Roman"/>
                <w:sz w:val="20"/>
                <w:szCs w:val="20"/>
              </w:rPr>
              <w:t>smjeh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107.595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112.715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59.449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750B8" w:rsidRPr="00404F3D" w:rsidRDefault="006F3B62" w:rsidP="006F3B6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53.266</w:t>
            </w:r>
          </w:p>
        </w:tc>
      </w:tr>
      <w:tr w:rsidR="00D750B8" w:rsidRPr="00404F3D" w:rsidTr="00A62F0A">
        <w:trPr>
          <w:trHeight w:val="49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750B8" w:rsidRPr="00404F3D" w:rsidRDefault="00D750B8" w:rsidP="006E50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F3D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50B8" w:rsidRPr="00404F3D" w:rsidRDefault="00A62F0A" w:rsidP="006F3B6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F3D">
              <w:rPr>
                <w:rFonts w:ascii="Times New Roman" w:hAnsi="Times New Roman" w:cs="Times New Roman"/>
                <w:b/>
                <w:sz w:val="20"/>
                <w:szCs w:val="20"/>
              </w:rPr>
              <w:t>258.</w:t>
            </w:r>
            <w:r w:rsidR="006F3B62">
              <w:rPr>
                <w:rFonts w:ascii="Times New Roman" w:hAnsi="Times New Roman" w:cs="Times New Roman"/>
                <w:b/>
                <w:sz w:val="20"/>
                <w:szCs w:val="20"/>
              </w:rPr>
              <w:t>483.878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12.417.326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270.901.204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50B8" w:rsidRPr="00404F3D" w:rsidRDefault="006F3B62" w:rsidP="0093553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270.234.222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50B8" w:rsidRPr="00404F3D" w:rsidRDefault="006F3B62" w:rsidP="006E503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666.981</w:t>
            </w:r>
          </w:p>
        </w:tc>
      </w:tr>
      <w:bookmarkEnd w:id="0"/>
    </w:tbl>
    <w:p w:rsidR="00D750B8" w:rsidRDefault="00D750B8" w:rsidP="00A62F0A">
      <w:pPr>
        <w:pBdr>
          <w:bottom w:val="single" w:sz="4" w:space="1" w:color="auto"/>
        </w:pBdr>
        <w:rPr>
          <w:b/>
        </w:rPr>
      </w:pPr>
    </w:p>
    <w:p w:rsidR="007A3F38" w:rsidRDefault="007A3F38" w:rsidP="00A62F0A">
      <w:pPr>
        <w:pBdr>
          <w:bottom w:val="single" w:sz="4" w:space="1" w:color="auto"/>
        </w:pBdr>
        <w:rPr>
          <w:b/>
        </w:rPr>
      </w:pPr>
    </w:p>
    <w:p w:rsidR="00A62F0A" w:rsidRPr="00AC2F44" w:rsidRDefault="00A62F0A" w:rsidP="00A62F0A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>Bilješke uz obrazac P-VRIO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62F0A" w:rsidRDefault="00A62F0A" w:rsidP="00A62F0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2F0A" w:rsidRPr="005217CA" w:rsidRDefault="00A62F0A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17CA">
        <w:rPr>
          <w:rFonts w:ascii="Times New Roman" w:hAnsi="Times New Roman" w:cs="Times New Roman"/>
          <w:sz w:val="24"/>
          <w:szCs w:val="24"/>
        </w:rPr>
        <w:t>Pošto nije bilo promjena u vrijednosti i obujmu imovine i obveza</w:t>
      </w:r>
      <w:r>
        <w:rPr>
          <w:rFonts w:ascii="Times New Roman" w:hAnsi="Times New Roman" w:cs="Times New Roman"/>
          <w:sz w:val="24"/>
          <w:szCs w:val="24"/>
        </w:rPr>
        <w:t xml:space="preserve"> ni kod Općine Starigrad, ni kod proračunskog korisnika dječjeg vrtića „Osmjeh“</w:t>
      </w:r>
      <w:r w:rsidRPr="005217CA">
        <w:rPr>
          <w:rFonts w:ascii="Times New Roman" w:hAnsi="Times New Roman" w:cs="Times New Roman"/>
          <w:sz w:val="24"/>
          <w:szCs w:val="24"/>
        </w:rPr>
        <w:t xml:space="preserve">, ovaj obrazac je ostao prazan. </w:t>
      </w:r>
    </w:p>
    <w:p w:rsidR="00A62F0A" w:rsidRPr="005217CA" w:rsidRDefault="00A62F0A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17CA">
        <w:rPr>
          <w:rFonts w:ascii="Times New Roman" w:hAnsi="Times New Roman" w:cs="Times New Roman"/>
          <w:sz w:val="24"/>
          <w:szCs w:val="24"/>
        </w:rPr>
        <w:t xml:space="preserve">Starigrad Paklenica,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7BE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veljače 201</w:t>
      </w:r>
      <w:r w:rsidR="005B7BE9">
        <w:rPr>
          <w:rFonts w:ascii="Times New Roman" w:hAnsi="Times New Roman" w:cs="Times New Roman"/>
          <w:sz w:val="24"/>
          <w:szCs w:val="24"/>
        </w:rPr>
        <w:t>9</w:t>
      </w:r>
      <w:r w:rsidRPr="005217CA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A62F0A" w:rsidRDefault="00A62F0A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7A8F" w:rsidRDefault="005E7A8F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7A8F" w:rsidRDefault="005E7A8F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2F0A" w:rsidRDefault="005B7BE9" w:rsidP="00A62F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A62F0A">
        <w:rPr>
          <w:rFonts w:ascii="Times New Roman" w:hAnsi="Times New Roman" w:cs="Times New Roman"/>
          <w:sz w:val="24"/>
          <w:szCs w:val="24"/>
        </w:rPr>
        <w:t xml:space="preserve">  Općinski načelnik:</w:t>
      </w:r>
    </w:p>
    <w:p w:rsidR="00A62F0A" w:rsidRDefault="00A62F0A" w:rsidP="00A62F0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NoSpacing"/>
        <w:jc w:val="right"/>
      </w:pPr>
      <w:r w:rsidRPr="005217CA">
        <w:rPr>
          <w:rFonts w:ascii="Times New Roman" w:hAnsi="Times New Roman" w:cs="Times New Roman"/>
          <w:sz w:val="24"/>
          <w:szCs w:val="24"/>
        </w:rPr>
        <w:t>Krste Ramić, dipl. oec</w:t>
      </w:r>
      <w:r>
        <w:t>.</w:t>
      </w:r>
    </w:p>
    <w:p w:rsidR="00A62F0A" w:rsidRDefault="00A62F0A" w:rsidP="00A62F0A">
      <w:pPr>
        <w:pStyle w:val="NoSpacing"/>
        <w:jc w:val="right"/>
      </w:pPr>
    </w:p>
    <w:p w:rsidR="00A62F0A" w:rsidRDefault="00A62F0A" w:rsidP="00A62F0A">
      <w:pPr>
        <w:pStyle w:val="NoSpacing"/>
        <w:jc w:val="right"/>
      </w:pPr>
    </w:p>
    <w:p w:rsidR="00A62F0A" w:rsidRDefault="00A62F0A" w:rsidP="00A62F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2F0A" w:rsidRDefault="00A62F0A" w:rsidP="00A62F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kontakt: Anita Milovac, mag. oec.</w:t>
      </w:r>
    </w:p>
    <w:p w:rsidR="00A62F0A" w:rsidRPr="00B36F2D" w:rsidRDefault="00A62F0A" w:rsidP="00A62F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i e-mail za kontakt: 023 369 387, </w:t>
      </w:r>
      <w:hyperlink r:id="rId5" w:history="1">
        <w:r w:rsidRPr="007C01C1">
          <w:rPr>
            <w:rStyle w:val="Hyperlink"/>
            <w:rFonts w:ascii="Times New Roman" w:hAnsi="Times New Roman" w:cs="Times New Roman"/>
            <w:sz w:val="24"/>
            <w:szCs w:val="24"/>
          </w:rPr>
          <w:t>financije@opcina-starigrad.hr</w:t>
        </w:r>
      </w:hyperlink>
    </w:p>
    <w:p w:rsidR="00935530" w:rsidRPr="00181EC8" w:rsidRDefault="00935530">
      <w:pPr>
        <w:rPr>
          <w:b/>
        </w:rPr>
      </w:pPr>
    </w:p>
    <w:sectPr w:rsidR="00935530" w:rsidRPr="00181EC8" w:rsidSect="00670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1EC8"/>
    <w:rsid w:val="00031543"/>
    <w:rsid w:val="00070037"/>
    <w:rsid w:val="00126370"/>
    <w:rsid w:val="0014360E"/>
    <w:rsid w:val="00181EC8"/>
    <w:rsid w:val="001A78A9"/>
    <w:rsid w:val="001F592E"/>
    <w:rsid w:val="002406B3"/>
    <w:rsid w:val="002F3C1F"/>
    <w:rsid w:val="0034311F"/>
    <w:rsid w:val="00396A87"/>
    <w:rsid w:val="00404F3D"/>
    <w:rsid w:val="00485480"/>
    <w:rsid w:val="004A5CE6"/>
    <w:rsid w:val="00525D5B"/>
    <w:rsid w:val="00545734"/>
    <w:rsid w:val="005518BF"/>
    <w:rsid w:val="00585685"/>
    <w:rsid w:val="005B7BE9"/>
    <w:rsid w:val="005E7A8F"/>
    <w:rsid w:val="006069C0"/>
    <w:rsid w:val="00670FB9"/>
    <w:rsid w:val="006C0AF6"/>
    <w:rsid w:val="006E6A54"/>
    <w:rsid w:val="006F3B62"/>
    <w:rsid w:val="007738D5"/>
    <w:rsid w:val="007A3F38"/>
    <w:rsid w:val="007A5438"/>
    <w:rsid w:val="007C4A90"/>
    <w:rsid w:val="008527DC"/>
    <w:rsid w:val="00926A22"/>
    <w:rsid w:val="00935530"/>
    <w:rsid w:val="00956BEE"/>
    <w:rsid w:val="0097743A"/>
    <w:rsid w:val="00A44FF7"/>
    <w:rsid w:val="00A62133"/>
    <w:rsid w:val="00A62F0A"/>
    <w:rsid w:val="00A66D0E"/>
    <w:rsid w:val="00AB616C"/>
    <w:rsid w:val="00B30061"/>
    <w:rsid w:val="00BB5D0E"/>
    <w:rsid w:val="00CE779A"/>
    <w:rsid w:val="00D065B9"/>
    <w:rsid w:val="00D750B8"/>
    <w:rsid w:val="00DB24BE"/>
    <w:rsid w:val="00E9554A"/>
    <w:rsid w:val="00EA19E9"/>
    <w:rsid w:val="00F91991"/>
    <w:rsid w:val="00FE079C"/>
    <w:rsid w:val="00FE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E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4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A5438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7A543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A62F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ncije@opcina-starigrad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Anita</cp:lastModifiedBy>
  <cp:revision>22</cp:revision>
  <dcterms:created xsi:type="dcterms:W3CDTF">2018-02-15T12:35:00Z</dcterms:created>
  <dcterms:modified xsi:type="dcterms:W3CDTF">2019-02-27T13:14:00Z</dcterms:modified>
</cp:coreProperties>
</file>