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20" w:rsidRPr="00583720" w:rsidRDefault="00583720" w:rsidP="0058372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Nacrt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26740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-</w:t>
      </w:r>
      <w:r w:rsidR="00F801ED" w:rsidRPr="00583720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</w:p>
    <w:p w:rsidR="00583720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</w:t>
      </w:r>
    </w:p>
    <w:p w:rsidR="00F801ED" w:rsidRPr="00F801ED" w:rsidRDefault="00583720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0948343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F801ED" w:rsidRPr="00F801E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7417DD7" wp14:editId="5685965E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F801ED" w:rsidRPr="00F801ED" w:rsidRDefault="00F801ED" w:rsidP="00F801ED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F801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bookmarkEnd w:id="0"/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F801ED" w:rsidRPr="00F801ED" w:rsidRDefault="00F801ED" w:rsidP="00F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_. ožujka 2018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86.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Zakona o prostornom uređenju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153/13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) te članka 30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("Službeni Glasnik Zadarske županije" br. 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Općinsko vijeće Općine Starigrad na svojoj 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201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:rsidR="00F801ED" w:rsidRP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O D L U K U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izradi</w:t>
      </w:r>
    </w:p>
    <w:p w:rsidR="00F801ED" w:rsidRPr="00CC6CE2" w:rsidRDefault="0026740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izmjena i dopuna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URBANISTIČKOG PLANA UREĐENJA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Milovci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6142FF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Pravna osno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va za izradu i donošenje izmjen</w:t>
      </w:r>
      <w:r w:rsidR="00E119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i dopun</w:t>
      </w:r>
      <w:r w:rsidR="00E119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D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onosi se Odluka o izradi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Urbanističkog plana uređenja dijela ugostiteljsko-turističke zone „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(u daljnjem tekstu: </w:t>
      </w:r>
      <w:r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Odluka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:rsidR="00F801ED" w:rsidRPr="00F801ED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 Izmjene i dopune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Urbanističko plana uređenja dijela ugostiteljsko-turističke zone „</w:t>
      </w:r>
      <w:proofErr w:type="spellStart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("Službeni glasnik Zadarske županije" br. 7/16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21/17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daljnjem tekstu: </w:t>
      </w:r>
      <w:r w:rsidR="00F801ED"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Plan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F801ED" w:rsidRPr="00F801E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UPU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 izrađuje se i donosi u skladu s odredbama Zakona o prostornom uređenju (NN 153/13</w:t>
      </w:r>
      <w:r w:rsidR="000D44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65/17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Razlozi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i dopun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 ugostiteljsko-turističke zone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“</w:t>
      </w:r>
    </w:p>
    <w:p w:rsidR="000D44FF" w:rsidRDefault="0057596C" w:rsidP="006142F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Onemogućena je realizacija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lanirane namjene unutar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cjeline I. iz razloga što nije moguće spojiti sve katastarske čestice</w:t>
      </w:r>
      <w:r w:rsid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jednu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građevnu česticu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UPU nalaže. Naime, 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2349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Starigrad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bilo moguće privesti vlasništvu </w:t>
      </w:r>
      <w:r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cijelosti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radi formiranja jedinstvene građevne čestice koja odgovora planiranoj prostornoj cjelini br. I.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UPUI-a.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Iz tog razloga potrebno je pristupiti izmjeni i dopuni UPU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način da se dio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katastarske čestice br.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2349 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k.o. Starigrad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izdvoji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prostorne cjeline I a istovremeno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 dio 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katastarske čestice br.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2344</w:t>
      </w:r>
      <w:r w:rsidR="00617B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k.o. Starigrad</w:t>
      </w:r>
      <w:r w:rsidR="000A09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je vlasnik investitor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Navedena izmjena omogućit će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investitor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postane stopostotni vlasnik planirane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prostorne cjeline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br.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će omogućiti otklanjanja </w:t>
      </w:r>
      <w:r w:rsidR="00723D31" w:rsidRPr="00723D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zapreke 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realizaciju planirane namjene.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26740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 izrade izmjena i dopuna</w:t>
      </w:r>
      <w:r w:rsidR="00F801ED"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UPU dijela ugostiteljsko-turističke zone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„</w:t>
      </w:r>
      <w:proofErr w:type="spellStart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Milovci-Grabovača</w:t>
      </w:r>
      <w:proofErr w:type="spellEnd"/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“ </w:t>
      </w:r>
    </w:p>
    <w:p w:rsidR="00F801ED" w:rsidRPr="00F801ED" w:rsidRDefault="0026740D" w:rsidP="00D10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Obuhvat izmjena i dopuna</w:t>
      </w:r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odnosi se na planirane prostorne cjeline I. i II., određene Urbanističkim planom uređenja 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dijela 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ugostiteljsko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-turist</w:t>
      </w:r>
      <w:r w:rsidR="00C4699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čke zone "</w:t>
      </w:r>
      <w:proofErr w:type="spellStart"/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(koji je na snazi)</w:t>
      </w:r>
      <w:r w:rsidR="00111C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bi se </w:t>
      </w:r>
      <w:r w:rsidR="001458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zadržala funkcionalnost 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</w:t>
      </w:r>
      <w:r w:rsidR="00145838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D107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cjeline br. I, potrebno je djelomično proširiti granicu obuhvata UPU-a na dio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kč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2344, sve </w:t>
      </w:r>
      <w:proofErr w:type="spellStart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>ko</w:t>
      </w:r>
      <w:proofErr w:type="spellEnd"/>
      <w:r w:rsidR="00614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Starigrad.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Sažeta ocjena stanja u 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obuhvatu izmjena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 u obuhvatu izmjen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čini 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izdvojeno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građevinsko</w:t>
      </w:r>
      <w:r w:rsidR="0045376B">
        <w:rPr>
          <w:rFonts w:ascii="Times New Roman" w:eastAsia="Times New Roman" w:hAnsi="Times New Roman" w:cs="Times New Roman"/>
          <w:sz w:val="24"/>
          <w:szCs w:val="24"/>
          <w:lang w:eastAsia="hr-HR"/>
        </w:rPr>
        <w:t>g područja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ugostiteljsko-turističke namjene van naselja. Ovo građevinsko područje je u većem dijelu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neizgrađeno. U prostoru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nalaze se izgrađeni suhozidi i uređene staze, koje čine dio uređenog okoliša konačno planirane namjene.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Ciljevi i programska polazišta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4D2787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Predložene izmjene i dopune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mijenja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ugrožava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programska načela postavljena UPU-om. Planirana izgradnja u obuhvatu izmjene i dopune UPU-a je znatno ispod postavljenih maksimuma određenih prostornim planom uređenja Općine Starigrad. Tako postavljeni uvjeti iz UPU-a omogućuju </w:t>
      </w:r>
      <w:r w:rsidR="004D2787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planirane strukture u obuhvatu Plana </w:t>
      </w:r>
      <w:r w:rsidR="00F801ED" w:rsidRPr="004D27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bez znatnog utjecaja na zadani urbanistički koncept i uvjete za građenje postavljena planovima šireg područja. 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sektorskih strategija, planova, studija i drugih dokumenata propisanih posebnim zakonima kojima, odnosno u skladu s kojima se utvrđuju zahtjevi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Osobe iz članka 8. ove Odluke obvezne su dostaviti sektorske strategije, planove, studije i druge dokumente propisane posebnim propisima kojima, odnosno u skladu s kojima utvrđuju zahtjeve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Nositelj izrade dostavlja primjerak ove Odluke tijelima i osobama iz prethodnog stavka. Uz dostavu Odluke upućuje i poziv za dostavu zahtjeva (podaci, planske smjernice i propisani dokumenti) za izradu izmjene i dopune Plana.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određena posebnim propisima iz ovog članka moraju u dostavljenim zahtjevima sukladno Zakonu odrediti važeće propise i njihove odredbe te druge stručne i ostale dokumente, na kojima temelje svoje zahtjeve u obuhvatu izmjene i dopune Plana.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(4) Rok za dostavu zahtjeva određen je u trajanju od 15 dana od datuma primitka obavijesti o izradi izmjene i dopune Plana i ove Odluke. Ukoliko tijela i osobe određeni posebnim propisima ne dostave zahtjeve u određenom roku, smatrat će se da ih nemaju. U tom slučaju moraju se u izradi i donošenju Plana poštivati uvjeti koje za sadržaj prostornog plana određuju odgovarajući važeći propisi i dokumenti.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Način pribavljanja stručnih rješenja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U izradi će se koristiti sva raspoloživa prostorna dokumentacija koju iz područja svog djelokruga osigurava Općina </w:t>
      </w:r>
      <w:bookmarkStart w:id="2" w:name="nastavak"/>
      <w:bookmarkEnd w:id="2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(2) Druga stručna rješenja nisu predviđena za izradu ov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ih izmjena i dopuna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Plana. </w:t>
      </w:r>
    </w:p>
    <w:p w:rsidR="00F801ED" w:rsidRPr="00CC6CE2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lastRenderedPageBreak/>
        <w:t xml:space="preserve">Članak </w: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CC6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keepNext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javnopravnih tijela određenih posebnim propisima koja daju zahtjeve za izradu izmjene i dopune Plana te drugih sudionika korisnika prostora koji treb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aju sudjelovati u izradi izmjena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 </w:t>
      </w:r>
    </w:p>
    <w:p w:rsidR="00F801ED" w:rsidRPr="00F801ED" w:rsidRDefault="0026740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>(1) Za potrebe izmjena i dopuna</w:t>
      </w:r>
      <w:r w:rsidR="00F801ED" w:rsidRPr="00F801ED">
        <w:rPr>
          <w:rFonts w:ascii="Times New Roman" w:eastAsia="Times New Roman" w:hAnsi="Times New Roman" w:cs="Times New Roman"/>
          <w:spacing w:val="-4"/>
          <w:sz w:val="24"/>
          <w:szCs w:val="24"/>
          <w:lang w:eastAsia="hr-HR"/>
        </w:rPr>
        <w:t xml:space="preserve"> Plana utvrđuje se popis tijela i osoba određenih posebnim propisima od kojih će se zatražiti podatci, planske smjernice i dokumenti koja daju tijela i osobe određene posebnim propisima u skladu s odredbama članka 90. Zakona o prostornom uređenju: </w:t>
      </w:r>
    </w:p>
    <w:p w:rsid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Uprava za zaštitu prirode, Zagreb,</w:t>
      </w:r>
    </w:p>
    <w:p w:rsidR="003521E9" w:rsidRPr="00F801ED" w:rsidRDefault="003521E9" w:rsidP="003521E9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zaštite okoliša i energetike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</w:t>
      </w:r>
      <w:r w:rsidRP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prava za procjenu utjecaja na okoliš i održivo gospodarenje otpadom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Zagreb</w:t>
      </w:r>
    </w:p>
    <w:p w:rsidR="00F801ED" w:rsidRPr="00F801ED" w:rsidRDefault="00F801ED" w:rsidP="00F801ED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Park prirode Velebit,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Kaniža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, Gospić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vode, VGO Split. Vodnogospodarski odjel za slivove južnoga Jadrana sa sjedištem u Splitu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kulture Republike Hrvatske, Uprava za zaštitu kulturne baštine, Konzervatorskog odjela u Zadru </w:t>
      </w:r>
    </w:p>
    <w:p w:rsidR="002534B0" w:rsidRPr="002534B0" w:rsidRDefault="002534B0" w:rsidP="002534B0">
      <w:pPr>
        <w:numPr>
          <w:ilvl w:val="0"/>
          <w:numId w:val="1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unutarnjih poslova Republike Hrvatske, Policijske uprave Zadarske, Sektora zaštite od požara i civilne zaštite</w:t>
      </w:r>
      <w:r w:rsidR="003521E9">
        <w:rPr>
          <w:rFonts w:ascii="Times New Roman" w:eastAsia="Times New Roman" w:hAnsi="Times New Roman" w:cs="Times New Roman"/>
          <w:sz w:val="24"/>
          <w:szCs w:val="24"/>
          <w:lang w:eastAsia="hr-HR"/>
        </w:rPr>
        <w:t>, Zadar</w:t>
      </w:r>
      <w:r w:rsidRPr="00253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službe i tijela ako se tijekom izrade Plana ukaže potreba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Smatra se da nije potrebno zatražiti podatke, planske smjernice i dokumente od drugih osoba i tijela pored navedenih iz prethodnog stavka iz razloga što ovim izmjenama nisu planirane nove zone ili sadržaji koji su u suprotnosti programskim načelima važećeg Plana. Izmjenom i dopunom Plana želi se osigurati učinkovitija provedba Plana i zaštita prostora. 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 osobe iz ovog članka dužni su nositelju izrade, na njegov zahtjev, dostaviti bez naknade raspoložive podatke i drugu dokumentaciju iz njihovih djelokruga koji su potrebni za izradu Izmjena i dopuna Plana.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Planirani rok za izradu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Plana, odnosno njegovih pojedinih faza</w:t>
      </w:r>
    </w:p>
    <w:p w:rsidR="00F801ED" w:rsidRPr="00F801ED" w:rsidRDefault="0026740D" w:rsidP="00F801E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izradu izmjena i dopuna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 dijela turističko-ugostiteljske zone „</w:t>
      </w:r>
      <w:proofErr w:type="spellStart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Milovci-Grabovača</w:t>
      </w:r>
      <w:proofErr w:type="spellEnd"/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“ određuju se slijedeći rokovi: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 zahtjeva tijelima i osobama za izradu Plana u skladu s člankom 90. Zakona o prostornom uređenju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 tijela iz članka 8. ove Odluke dužna su dostaviti zahtjeve na Plan u roku od </w:t>
      </w:r>
      <w:r w:rsidRPr="00F80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dostave zahtjeva iz članka 6. ove Odluke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Nacrta prijedloga izmjene i dopune Plana u roku od 30 dana od isteka roka iz prethodne alineje 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rasprava će se objaviti najmanje 8 dana prije početka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uvid - u trajanju najmanje 8 dana (a ne više od 15 dana) u skladu s objavom iz prethodne alineje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vrijeme javnog izlaganja, mjesto i vrijeme uvida u Plan te rok u kojem se nositelju izrade dostavljaju pisana očitovanja, mišljenja, prijedlozi i primjedbe na prijedlog Plana biti će definirani u Objavi javne rasprave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javnopravno tijelo koje je dalo, odnosno trebalo dati zahtjeve za izradu Plana u javnoj raspravi sudjeluje davanjem mišljenja o prihvaćanju tih zahtjeva, odnosno mišljenja o primjeni posebnog propisa i/ili dokumenta koji je od utjecaja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izrada Izvješća o javnoj raspravi - u roku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dana od 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svršetka javne rasprave,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izrada nacrta konačnog prijedloga izmjene i dopune Plana u roku od 21. dana od izrade izvješća o javnoj raspravi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utvrđuje konačni prijedlog Plana najviše 15 dana od primitka nacrta konačnog prijedloga Plana od izrađivača Plana i upućuje isti Ministarstvu graditeljstva i prostornog uređenja uz zahtjev za suglasnost na Plan.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upućivanja konačnog prijedloga Plana općinskom vijeću na donošenje, Općina Starigrad dostavlja sudionicima javne rasprave pisanu obavijest o tome s obrazloženjem o razlozima neprihvaćanja, odnosno djelomičnog prihvaćanja njihovih prijedloga i primjedbi.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Odluke o donošenju izmjene i dopune Plana u roku od 15 dana od dana izglasavanja Odluke objavljuje se u »Službenom glasniku Zadarske županije «.</w:t>
      </w:r>
    </w:p>
    <w:p w:rsidR="00F801ED" w:rsidRPr="00F801ED" w:rsidRDefault="00F801ED" w:rsidP="00F801ED">
      <w:pPr>
        <w:numPr>
          <w:ilvl w:val="0"/>
          <w:numId w:val="2"/>
        </w:numPr>
        <w:spacing w:before="60" w:after="6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Plan, s Odlukom o donošenju, mora se dostaviti Ministarstvu i Zavodu za prostorno uređenje Zadarske županije najkasnije petnaest dana od dana objave odluke u službenom glasilu,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 Izvori financiranja izrade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DB7A37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26740D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izrade izmjena i dopuna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provest će se sukladno članku 167. Zakona na način da će izradu financirati u cijelosti Kuzman Marasović, Brine 4, 23244 Starigrad Paklenica, kao zainteresirana osoba vlastitim sredstvima.</w:t>
      </w:r>
    </w:p>
    <w:p w:rsidR="00F801ED" w:rsidRPr="00F801ED" w:rsidRDefault="00DB7A37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F801ED"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Međusobni odnosi nositelja izrade Plana i nositelja financiranja njegove izrade (investitora) uredit će se posebnim Ugovorom.</w:t>
      </w:r>
    </w:p>
    <w:p w:rsidR="00F801ED" w:rsidRPr="00F801ED" w:rsidRDefault="00F801ED" w:rsidP="006142FF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Članak 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begin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instrText xml:space="preserve"> AUTONUM  </w:instrTex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fldChar w:fldCharType="end"/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F801ED" w:rsidRPr="00F801ED" w:rsidRDefault="00F801ED" w:rsidP="00F801E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Druga pitanja značajna za izradu nacrta izmjen</w:t>
      </w:r>
      <w:r w:rsidR="00267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a i dopuna</w:t>
      </w:r>
      <w:r w:rsidRPr="00F80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Plana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(1) Jedan primjerak ove Odluke dostavlja se Ministarstvu graditeljstva i prostornog uređenja, i objavljuje se na internet stranicama Ministarstva i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Obavijest o javnoj raspravi dostavlja se Ministarstvu graditeljstva i prostornog uređenja koje objavljuje istu na internet stranicama Ministarstva. Obavijest o javnoj raspravi objavljuje se 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) Izvješće o javnoj raspravi upućuje se na Ministarstvo graditeljstva i prostornog uređenja radi objave na internet stranice Ministarstva. Izvješće o javnoj raspravi objavljuje se i na internet stranicama Općine.</w:t>
      </w:r>
    </w:p>
    <w:p w:rsidR="00F801ED" w:rsidRPr="00F801ED" w:rsidRDefault="00F801ED" w:rsidP="00F801E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B7A3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80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Ova Odluka stupa na snagu osmog dana od dana objave u "Službenom glasniku Zadarske županije " </w:t>
      </w:r>
    </w:p>
    <w:p w:rsidR="00F801ED" w:rsidRDefault="00F801ED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D44FF" w:rsidRPr="00F801ED" w:rsidRDefault="000D44FF" w:rsidP="00F801ED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583720">
      <w:pPr>
        <w:spacing w:before="60" w:after="6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:rsidR="00F801ED" w:rsidRPr="00F801ED" w:rsidRDefault="00F801ED" w:rsidP="00F801ED">
      <w:pPr>
        <w:spacing w:before="60" w:after="6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801ED" w:rsidRPr="00F801ED" w:rsidRDefault="00F801ED" w:rsidP="00F801ED">
      <w:pPr>
        <w:spacing w:before="60" w:after="60" w:line="240" w:lineRule="auto"/>
        <w:ind w:left="4253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Marko Marasović, dipl.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ing</w:t>
      </w:r>
      <w:proofErr w:type="spellEnd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D44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</w:t>
      </w:r>
      <w:proofErr w:type="spellEnd"/>
      <w:r w:rsidRPr="00F801E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5538B" w:rsidRDefault="0095538B"/>
    <w:sectPr w:rsidR="0095538B" w:rsidSect="00E92D8A">
      <w:footerReference w:type="default" r:id="rId8"/>
      <w:pgSz w:w="12240" w:h="15840"/>
      <w:pgMar w:top="1077" w:right="1134" w:bottom="1077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C3" w:rsidRDefault="00BF2CC3">
      <w:pPr>
        <w:spacing w:after="0" w:line="240" w:lineRule="auto"/>
      </w:pPr>
      <w:r>
        <w:separator/>
      </w:r>
    </w:p>
  </w:endnote>
  <w:endnote w:type="continuationSeparator" w:id="0">
    <w:p w:rsidR="00BF2CC3" w:rsidRDefault="00BF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xt"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31" w:rsidRDefault="00EF01EC">
    <w:pPr>
      <w:pStyle w:val="Podnoje"/>
      <w:jc w:val="center"/>
    </w:pPr>
  </w:p>
  <w:p w:rsidR="00AC2331" w:rsidRDefault="00EF01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C3" w:rsidRDefault="00BF2CC3">
      <w:pPr>
        <w:spacing w:after="0" w:line="240" w:lineRule="auto"/>
      </w:pPr>
      <w:r>
        <w:separator/>
      </w:r>
    </w:p>
  </w:footnote>
  <w:footnote w:type="continuationSeparator" w:id="0">
    <w:p w:rsidR="00BF2CC3" w:rsidRDefault="00BF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A5A"/>
    <w:multiLevelType w:val="hybridMultilevel"/>
    <w:tmpl w:val="11F43532"/>
    <w:lvl w:ilvl="0" w:tplc="4768F61C">
      <w:start w:val="1"/>
      <w:numFmt w:val="lowerLetter"/>
      <w:lvlText w:val="(%1)"/>
      <w:lvlJc w:val="left"/>
      <w:pPr>
        <w:ind w:left="720" w:hanging="360"/>
      </w:pPr>
      <w:rPr>
        <w:rFonts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45F4"/>
    <w:multiLevelType w:val="hybridMultilevel"/>
    <w:tmpl w:val="1972A248"/>
    <w:lvl w:ilvl="0" w:tplc="F8243C00">
      <w:start w:val="6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ED"/>
    <w:rsid w:val="000A09DD"/>
    <w:rsid w:val="000D44FF"/>
    <w:rsid w:val="00111CE7"/>
    <w:rsid w:val="00145838"/>
    <w:rsid w:val="002534B0"/>
    <w:rsid w:val="0026740D"/>
    <w:rsid w:val="00267C87"/>
    <w:rsid w:val="003521E9"/>
    <w:rsid w:val="0045376B"/>
    <w:rsid w:val="004D2787"/>
    <w:rsid w:val="0057596C"/>
    <w:rsid w:val="00583720"/>
    <w:rsid w:val="006142FF"/>
    <w:rsid w:val="00617BD8"/>
    <w:rsid w:val="00684797"/>
    <w:rsid w:val="00723D31"/>
    <w:rsid w:val="0093772F"/>
    <w:rsid w:val="0095538B"/>
    <w:rsid w:val="00A14D32"/>
    <w:rsid w:val="00B73F21"/>
    <w:rsid w:val="00BF2CC3"/>
    <w:rsid w:val="00C03B34"/>
    <w:rsid w:val="00C46999"/>
    <w:rsid w:val="00CC6CE2"/>
    <w:rsid w:val="00D10724"/>
    <w:rsid w:val="00DB7A37"/>
    <w:rsid w:val="00E119E0"/>
    <w:rsid w:val="00E41151"/>
    <w:rsid w:val="00E86ED7"/>
    <w:rsid w:val="00EF01EC"/>
    <w:rsid w:val="00F73179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F756"/>
  <w15:chartTrackingRefBased/>
  <w15:docId w15:val="{5B0BAEE7-2186-4E21-9CD2-B828BFD4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01ED"/>
  </w:style>
  <w:style w:type="paragraph" w:styleId="Odlomakpopisa">
    <w:name w:val="List Paragraph"/>
    <w:basedOn w:val="Normal"/>
    <w:uiPriority w:val="34"/>
    <w:qFormat/>
    <w:rsid w:val="005837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2018-03-22T13:49:00Z</cp:lastPrinted>
  <dcterms:created xsi:type="dcterms:W3CDTF">2018-03-20T09:13:00Z</dcterms:created>
  <dcterms:modified xsi:type="dcterms:W3CDTF">2018-03-22T13:52:00Z</dcterms:modified>
</cp:coreProperties>
</file>